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/>
      <w:r/>
    </w:p>
    <w:p>
      <w:r/>
      <w:r/>
    </w:p>
    <w:p>
      <w:pPr>
        <w:pStyle w:val="782"/>
        <w:jc w:val="center"/>
      </w:pPr>
      <w:r>
        <w:t xml:space="preserve">Рекомендации </w:t>
      </w:r>
      <w:bookmarkStart w:id="1" w:name="_Hlk234249559"/>
      <w:r>
        <w:t xml:space="preserve">для сотрудников психологических служб, служб медиации </w:t>
      </w:r>
      <w:r>
        <w:br/>
        <w:t xml:space="preserve">и примирения </w:t>
      </w:r>
      <w:r>
        <w:t xml:space="preserve">образовательных</w:t>
      </w:r>
      <w:r>
        <w:t xml:space="preserve"> </w:t>
      </w:r>
      <w:r>
        <w:t xml:space="preserve">организаци</w:t>
      </w:r>
      <w:r>
        <w:t xml:space="preserve">й</w:t>
      </w:r>
      <w:r>
        <w:t xml:space="preserve"> среднего профессионального образования</w:t>
      </w:r>
      <w:r>
        <w:t xml:space="preserve"> </w:t>
      </w:r>
      <w:r>
        <w:t xml:space="preserve">по </w:t>
      </w:r>
      <w:r>
        <w:t xml:space="preserve">р</w:t>
      </w:r>
      <w:r>
        <w:t xml:space="preserve">азрешени</w:t>
      </w:r>
      <w:r>
        <w:t xml:space="preserve">ю</w:t>
      </w:r>
      <w:r>
        <w:t xml:space="preserve"> конфликтных ситуаций </w:t>
      </w:r>
      <w:r>
        <w:br/>
      </w:r>
      <w:r>
        <w:t xml:space="preserve">между</w:t>
      </w:r>
      <w:r>
        <w:t xml:space="preserve"> обучающи</w:t>
      </w:r>
      <w:r>
        <w:t xml:space="preserve">мися</w:t>
      </w:r>
      <w:bookmarkEnd w:id="1"/>
      <w:r/>
      <w:r/>
    </w:p>
    <w:p>
      <w:pPr>
        <w:pStyle w:val="782"/>
        <w:jc w:val="center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  <w:t xml:space="preserve">Настоящие рекомендации разработаны с учетом основополагающих нормативных документов, определяющих правовые рамки образовательной деятельности и требования к разрешения конфликтных ситуаций среди обучающихся: </w:t>
      </w:r>
      <w:r>
        <w:rPr>
          <w:b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Конвенция о правах ребенка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Всеобщая декларация прав человека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Федеральный закон от 29.12.2012 № 273-ФЗ «Об образовании </w:t>
      </w:r>
      <w:r>
        <w:rPr>
          <w:b w:val="0"/>
        </w:rPr>
        <w:br/>
      </w:r>
      <w:r>
        <w:rPr>
          <w:b w:val="0"/>
        </w:rPr>
        <w:t xml:space="preserve">в Российской Федерации»;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Федеральный закон от 24.07.1998 № 124-ФЗ «Об основных гарантиях прав ребенка в Российской Федерации»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Федеральный закон от 24.06.1999 № 120-ФЗ «Об основах системы профилактики безнадзорности и правонарушений несовершеннолетних»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Приказ Мин</w:t>
      </w:r>
      <w:r>
        <w:rPr>
          <w:b w:val="0"/>
        </w:rPr>
        <w:t xml:space="preserve">истерства </w:t>
      </w:r>
      <w:r>
        <w:rPr>
          <w:b w:val="0"/>
        </w:rPr>
        <w:t xml:space="preserve">просвещения России от 27 марта 2025 г. N 243 "Об утверждении Порядка применения к обучающимся по образовательным программам основного общего образования, образовательным программам среднего общего образования, образовательным программам средне</w:t>
      </w:r>
      <w:r>
        <w:rPr>
          <w:b w:val="0"/>
        </w:rPr>
        <w:t xml:space="preserve">го профессионального образования и соответствующим дополнительным профессиональным программам,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обучающихся"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Концепци</w:t>
      </w:r>
      <w:r>
        <w:rPr>
          <w:b w:val="0"/>
        </w:rPr>
        <w:t xml:space="preserve">я</w:t>
      </w:r>
      <w:r>
        <w:rPr>
          <w:b w:val="0"/>
        </w:rPr>
        <w:t xml:space="preserve"> развития системы психолого-педагогической помощи в сфере общего образования и среднего профессионального образования в </w:t>
      </w:r>
      <w:r>
        <w:rPr>
          <w:b w:val="0"/>
        </w:rPr>
        <w:t xml:space="preserve">Р</w:t>
      </w:r>
      <w:r>
        <w:rPr>
          <w:b w:val="0"/>
        </w:rPr>
        <w:t xml:space="preserve">оссийской </w:t>
      </w:r>
      <w:r>
        <w:rPr>
          <w:b w:val="0"/>
        </w:rPr>
        <w:t xml:space="preserve">Ф</w:t>
      </w:r>
      <w:r>
        <w:rPr>
          <w:b w:val="0"/>
        </w:rPr>
        <w:t xml:space="preserve">едерации на период до 2030 года, утвержденн</w:t>
      </w:r>
      <w:r>
        <w:rPr>
          <w:b w:val="0"/>
        </w:rPr>
        <w:t xml:space="preserve">ая</w:t>
      </w:r>
      <w:r>
        <w:rPr>
          <w:b w:val="0"/>
        </w:rPr>
        <w:t xml:space="preserve"> Министром просвещения Российской Федерации от </w:t>
      </w:r>
      <w:r>
        <w:rPr>
          <w:b w:val="0"/>
        </w:rPr>
        <w:t xml:space="preserve">18.06.2024</w:t>
      </w:r>
      <w:r>
        <w:rPr>
          <w:b w:val="0"/>
        </w:rPr>
        <w:t xml:space="preserve"> № СК-</w:t>
      </w:r>
      <w:r>
        <w:rPr>
          <w:b w:val="0"/>
        </w:rPr>
        <w:t xml:space="preserve">13</w:t>
      </w:r>
      <w:r>
        <w:rPr>
          <w:b w:val="0"/>
        </w:rPr>
        <w:t xml:space="preserve">/07ВН.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/>
      <w:bookmarkStart w:id="2" w:name="_Hlk234242410"/>
      <w:r>
        <w:rPr>
          <w:b w:val="0"/>
        </w:rPr>
        <w:t xml:space="preserve">Письмо Министерства просвещения Российской Федерации </w:t>
      </w:r>
      <w:r>
        <w:rPr>
          <w:b w:val="0"/>
        </w:rPr>
        <w:br/>
      </w:r>
      <w:r>
        <w:rPr>
          <w:b w:val="0"/>
        </w:rPr>
        <w:t xml:space="preserve">от 23.08.2021 № 07-4715</w:t>
      </w:r>
      <w:bookmarkEnd w:id="2"/>
      <w:r>
        <w:rPr>
          <w:b w:val="0"/>
        </w:rPr>
        <w:t xml:space="preserve"> «О направлении методических рекомендаций </w:t>
      </w:r>
      <w:r>
        <w:rPr>
          <w:b w:val="0"/>
        </w:rPr>
        <w:br/>
      </w:r>
      <w:r>
        <w:rPr>
          <w:b w:val="0"/>
        </w:rPr>
        <w:t xml:space="preserve">по обеспечению психологической безопасности образовательной среды»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Письмо Министерства просвещения Российской Федерации </w:t>
      </w:r>
      <w:r>
        <w:rPr>
          <w:b w:val="0"/>
        </w:rPr>
        <w:br/>
      </w:r>
      <w:r>
        <w:rPr>
          <w:b w:val="0"/>
        </w:rPr>
        <w:t xml:space="preserve">от </w:t>
      </w:r>
      <w:r>
        <w:rPr>
          <w:b w:val="0"/>
        </w:rPr>
        <w:t xml:space="preserve">11.04.2025</w:t>
      </w:r>
      <w:r>
        <w:rPr>
          <w:b w:val="0"/>
        </w:rPr>
        <w:t xml:space="preserve"> № 07-</w:t>
      </w:r>
      <w:r>
        <w:rPr>
          <w:b w:val="0"/>
        </w:rPr>
        <w:t xml:space="preserve">1660</w:t>
      </w:r>
      <w:r>
        <w:rPr>
          <w:b w:val="0"/>
        </w:rPr>
        <w:t xml:space="preserve"> «О </w:t>
      </w:r>
      <w:r>
        <w:rPr>
          <w:b w:val="0"/>
        </w:rPr>
        <w:t xml:space="preserve">методических рекомендациях (вместе с методическими рекомендациями по организации деятельности служб медиации и примирения)</w:t>
      </w:r>
      <w:r>
        <w:rPr>
          <w:b w:val="0"/>
        </w:rPr>
        <w:t xml:space="preserve">»</w:t>
      </w:r>
      <w:r>
        <w:rPr>
          <w:b w:val="0"/>
        </w:rPr>
        <w:t xml:space="preserve">;</w:t>
      </w:r>
      <w:r>
        <w:rPr>
          <w:b w:val="0"/>
          <w:bCs w:val="0"/>
        </w:rPr>
      </w:r>
    </w:p>
    <w:p>
      <w:pPr>
        <w:pStyle w:val="782"/>
        <w:ind w:firstLine="567"/>
        <w:jc w:val="both"/>
        <w:rPr>
          <w:b w:val="0"/>
          <w:bCs w:val="0"/>
        </w:rPr>
      </w:pPr>
      <w:r>
        <w:rPr>
          <w:b w:val="0"/>
        </w:rPr>
      </w:r>
      <w:r>
        <w:rPr>
          <w:b w:val="0"/>
        </w:rPr>
        <w:t xml:space="preserve">Распоряжение Министерства просвещения Российской Федерации от 28.12.2020 № Р-193 «Об утверждении методических рекомендаций по системе функционирования психологических служб в общеобразовательных организациях»</w:t>
      </w:r>
      <w:r>
        <w:rPr>
          <w:b w:val="0"/>
        </w:rPr>
        <w:t xml:space="preserve">.</w:t>
      </w:r>
      <w:r>
        <w:rPr>
          <w:b w:val="0"/>
          <w:bCs w:val="0"/>
        </w:rPr>
      </w:r>
      <w:r/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Рекомендации разработаны с целью оказания практической помощи педагогическим работникам образовательных организаций в вопросах эффективного применения современных инструментов медиации </w:t>
      </w:r>
      <w:r>
        <w:rPr>
          <w:b w:val="0"/>
        </w:rPr>
        <w:br/>
      </w:r>
      <w:r>
        <w:rPr>
          <w:b w:val="0"/>
        </w:rPr>
        <w:t xml:space="preserve">и психологических техник при урегулировании конфликтных ситуаций среди обучающихся. Задача педагогов — сделать процесс урегулирования споров максимально доступным и результативным для каждой из сторон, независимо </w:t>
      </w:r>
      <w:r>
        <w:rPr>
          <w:b w:val="0"/>
        </w:rPr>
        <w:br/>
      </w:r>
      <w:r>
        <w:rPr>
          <w:b w:val="0"/>
        </w:rPr>
        <w:t xml:space="preserve">от особенностей их социа</w:t>
      </w:r>
      <w:r>
        <w:rPr>
          <w:b w:val="0"/>
        </w:rPr>
        <w:t xml:space="preserve">льного статуса и психоэмоциональных реакций. Современные подходы к конфликтологии открывают новые возможности для профилактики деструктивных противостояний, позволяя обучающимся активно участвовать в конструктивном диалоге, восстанавливать взаимоотношения </w:t>
      </w:r>
      <w:r>
        <w:rPr>
          <w:b w:val="0"/>
        </w:rPr>
        <w:br/>
      </w:r>
      <w:r>
        <w:rPr>
          <w:b w:val="0"/>
        </w:rPr>
        <w:t xml:space="preserve">и развивать коммуникативные компетенции наравне со сверстниками. Успешное внедрение этих методик в педагогическую практику требует от учителя глубокого понимания психологической природы конфликтов и владения соответствующими техниками </w:t>
      </w:r>
      <w:r>
        <w:rPr>
          <w:b w:val="0"/>
        </w:rPr>
        <w:t xml:space="preserve">фасилитации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ind w:firstLine="708"/>
        <w:jc w:val="center"/>
        <w:rPr>
          <w:color w:val="ff0000"/>
        </w:rPr>
      </w:pPr>
      <w:r>
        <w:t xml:space="preserve">Основные понятия</w:t>
      </w:r>
      <w:r>
        <w:rPr>
          <w:color w:val="ff000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Конфликт</w:t>
      </w:r>
      <w:r>
        <w:rPr>
          <w:b w:val="0"/>
        </w:rPr>
        <w:t xml:space="preserve"> — столкновение противоположно направленных целей, интересов, позиций, мнений или взглядов субъектов взаимодействия.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Инцидент</w:t>
      </w:r>
      <w:r>
        <w:rPr>
          <w:b w:val="0"/>
        </w:rPr>
        <w:t xml:space="preserve"> — открытое столкновение, действие, запускающее эскалацию.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Медиация</w:t>
      </w:r>
      <w:r>
        <w:rPr>
          <w:b w:val="0"/>
        </w:rPr>
        <w:t xml:space="preserve"> — технология урегулирования спора с участием нейтральной стороны (медиатора).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Т</w:t>
      </w:r>
      <w:r>
        <w:t xml:space="preserve">равля</w:t>
      </w:r>
      <w:r>
        <w:t xml:space="preserve"> (</w:t>
      </w:r>
      <w:r>
        <w:t xml:space="preserve">буллинг</w:t>
      </w:r>
      <w:r>
        <w:t xml:space="preserve">)</w:t>
      </w:r>
      <w:r>
        <w:rPr>
          <w:b w:val="0"/>
        </w:rPr>
        <w:t xml:space="preserve"> — систематическое, повторяющееся агрессивное поведение, характеризующееся дисбалансом власти. Это не конфликт в чистом виде, а форма насилия, требующая особого протокола.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Психологическая служба организации</w:t>
      </w:r>
      <w:r>
        <w:rPr>
          <w:b w:val="0"/>
        </w:rPr>
        <w:t xml:space="preserve"> </w:t>
      </w:r>
      <w:r>
        <w:rPr>
          <w:b w:val="0"/>
        </w:rPr>
        <w:t xml:space="preserve">—</w:t>
      </w:r>
      <w:r>
        <w:rPr>
          <w:b w:val="0"/>
        </w:rPr>
        <w:t xml:space="preserve"> </w:t>
      </w:r>
      <w:r>
        <w:rPr>
          <w:b w:val="0"/>
        </w:rPr>
        <w:t xml:space="preserve">организационная структура, обеспечивающая развитие личности в образовательной среде и психологическую помощь в преодолении психологических трудностей </w:t>
      </w:r>
      <w:r>
        <w:rPr>
          <w:b w:val="0"/>
        </w:rPr>
        <w:t xml:space="preserve">участникам образовательного процесса через профессиональную деятельность педагогов-психологов. В структуру психологической службы могут входить педагог-психолог или несколько педагогов-психологов организации, социальный педагог, учитель-логопед, дефектолог</w:t>
      </w:r>
      <w:r>
        <w:rPr>
          <w:b w:val="0"/>
        </w:rPr>
        <w:t xml:space="preserve">, куратор и др.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Служба медиации</w:t>
      </w:r>
      <w:r>
        <w:rPr>
          <w:b w:val="0"/>
        </w:rPr>
        <w:t xml:space="preserve"> </w:t>
      </w:r>
      <w:r>
        <w:rPr>
          <w:b w:val="0"/>
        </w:rPr>
        <w:t xml:space="preserve">—</w:t>
      </w:r>
      <w:r>
        <w:rPr>
          <w:b w:val="0"/>
        </w:rPr>
        <w:t xml:space="preserve"> </w:t>
      </w:r>
      <w:r>
        <w:rPr>
          <w:b w:val="0"/>
        </w:rPr>
        <w:t xml:space="preserve">это организация или структурное подразделение, которое специализируется на организации процедуры медиации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ind w:firstLine="708"/>
        <w:jc w:val="center"/>
        <w:rPr>
          <w:b w:val="0"/>
        </w:rPr>
      </w:pPr>
      <w:r>
        <w:t xml:space="preserve">Цели и задачи </w:t>
      </w:r>
      <w:r>
        <w:t xml:space="preserve">рекомендаций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1. Обеспечить оперативное, справедливое, всестороннее и законное урегулирование конфликтов.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2. Защитить честь и достоинство </w:t>
      </w:r>
      <w:r>
        <w:rPr>
          <w:b w:val="0"/>
        </w:rPr>
        <w:t xml:space="preserve">участников конфликта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3. Соблюдать требования Федерального закона </w:t>
      </w:r>
      <w:r>
        <w:rPr>
          <w:b w:val="0"/>
        </w:rPr>
        <w:t xml:space="preserve">№</w:t>
      </w:r>
      <w:r>
        <w:rPr>
          <w:b w:val="0"/>
        </w:rPr>
        <w:t xml:space="preserve"> 273-ФЗ "Об образовании в </w:t>
      </w:r>
      <w:r>
        <w:rPr>
          <w:b w:val="0"/>
        </w:rPr>
        <w:t xml:space="preserve">Российской Федерации</w:t>
      </w:r>
      <w:r>
        <w:rPr>
          <w:b w:val="0"/>
        </w:rPr>
        <w:t xml:space="preserve">".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4. Предусмотреть понятный алгоритм действий для организации, осуществляющей образовательную деятельность</w:t>
      </w:r>
      <w:r>
        <w:rPr>
          <w:b w:val="0"/>
        </w:rPr>
        <w:t xml:space="preserve"> по программам среднего профессионального образования</w:t>
      </w:r>
      <w:r>
        <w:rPr>
          <w:b w:val="0"/>
        </w:rPr>
        <w:t xml:space="preserve">, как одного из участников образовательных отношений.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ind w:firstLine="708"/>
        <w:jc w:val="center"/>
        <w:rPr>
          <w:b w:val="0"/>
        </w:rPr>
      </w:pPr>
      <w:r>
        <w:t xml:space="preserve">Принципы разрешения конфликтов</w:t>
      </w:r>
      <w:r>
        <w:rPr>
          <w:b w:val="0"/>
        </w:rPr>
      </w:r>
    </w:p>
    <w:p>
      <w:pPr>
        <w:pStyle w:val="782"/>
        <w:numPr>
          <w:ilvl w:val="0"/>
          <w:numId w:val="49"/>
        </w:numPr>
        <w:ind w:left="0" w:firstLine="709"/>
        <w:jc w:val="both"/>
        <w:rPr>
          <w:b w:val="0"/>
        </w:rPr>
      </w:pPr>
      <w:r>
        <w:rPr>
          <w:b w:val="0"/>
        </w:rPr>
        <w:t xml:space="preserve">Принцип презумпции невиновности и отказа от карательной педагогики. Цель разбора — не поиск «</w:t>
      </w:r>
      <w:r>
        <w:rPr>
          <w:b w:val="0"/>
        </w:rPr>
        <w:t xml:space="preserve">виноватого</w:t>
      </w:r>
      <w:r>
        <w:rPr>
          <w:b w:val="0"/>
        </w:rPr>
        <w:t xml:space="preserve">» и формальное наказание, </w:t>
      </w:r>
      <w:r>
        <w:rPr>
          <w:b w:val="0"/>
        </w:rPr>
        <w:br/>
      </w:r>
      <w:r>
        <w:rPr>
          <w:b w:val="0"/>
        </w:rPr>
        <w:t xml:space="preserve">а формирование у </w:t>
      </w:r>
      <w:r>
        <w:rPr>
          <w:b w:val="0"/>
        </w:rPr>
        <w:t xml:space="preserve">обучающихся</w:t>
      </w:r>
      <w:r>
        <w:rPr>
          <w:b w:val="0"/>
        </w:rPr>
        <w:t xml:space="preserve"> навыков цивилизованного выхода из кризиса (воспитание ответственности).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2. Принцип конфиденциальности. Любая информация о личной жизни студентов, полученная в ходе урегулирования, не подлежит публичному разглашению (кроме случаев угрозы жизни </w:t>
      </w:r>
      <w:r>
        <w:rPr>
          <w:b w:val="0"/>
        </w:rPr>
        <w:t xml:space="preserve">и здоровью).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3. </w:t>
      </w:r>
      <w:r>
        <w:rPr>
          <w:b w:val="0"/>
        </w:rPr>
        <w:t xml:space="preserve">Принцип у</w:t>
      </w:r>
      <w:r>
        <w:rPr>
          <w:b w:val="0"/>
        </w:rPr>
        <w:t xml:space="preserve">чет</w:t>
      </w:r>
      <w:r>
        <w:rPr>
          <w:b w:val="0"/>
        </w:rPr>
        <w:t xml:space="preserve">а</w:t>
      </w:r>
      <w:r>
        <w:rPr>
          <w:b w:val="0"/>
        </w:rPr>
        <w:t xml:space="preserve"> возрастной </w:t>
      </w:r>
      <w:r>
        <w:rPr>
          <w:b w:val="0"/>
        </w:rPr>
        <w:t xml:space="preserve">сензитивности</w:t>
      </w:r>
      <w:r>
        <w:rPr>
          <w:b w:val="0"/>
        </w:rPr>
        <w:t xml:space="preserve">. </w:t>
      </w:r>
      <w:r>
        <w:rPr>
          <w:b w:val="0"/>
        </w:rPr>
        <w:t xml:space="preserve">Обучающиеся</w:t>
      </w:r>
      <w:r>
        <w:rPr>
          <w:b w:val="0"/>
        </w:rPr>
        <w:t xml:space="preserve"> 15–18 лет переживают кризис идентичности. В этом возрасте потребность в уважении, признании и страх «потери лица» критичнее реальных причин ссоры.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4. </w:t>
      </w:r>
      <w:r>
        <w:rPr>
          <w:b w:val="0"/>
        </w:rPr>
        <w:t xml:space="preserve">Принцип документирования</w:t>
      </w:r>
      <w:r>
        <w:rPr>
          <w:b w:val="0"/>
        </w:rPr>
        <w:t xml:space="preserve">.</w:t>
      </w:r>
      <w:r>
        <w:rPr>
          <w:b w:val="0"/>
        </w:rPr>
        <w:t xml:space="preserve"> </w:t>
      </w:r>
      <w:r>
        <w:rPr>
          <w:b w:val="0"/>
        </w:rPr>
        <w:t xml:space="preserve">П</w:t>
      </w:r>
      <w:r>
        <w:rPr>
          <w:b w:val="0"/>
        </w:rPr>
        <w:t xml:space="preserve">редполагает обязательную фиксацию в пис</w:t>
      </w:r>
      <w:r>
        <w:rPr>
          <w:b w:val="0"/>
        </w:rPr>
        <w:t xml:space="preserve">ьменной форме позиций сторон, хода переговорного процесса, промежуточных и итоговых решений. Документирование обеспечивает прозрачность процедур урегулирования, снижает риски разночтений и создаёт доказательную базу для контроля исполнения договорённостей.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5</w:t>
      </w:r>
      <w:r>
        <w:rPr>
          <w:b w:val="0"/>
        </w:rPr>
        <w:t xml:space="preserve">. Принцип «Отделение человека от проблемы». Борьба ведется </w:t>
      </w:r>
      <w:r>
        <w:rPr>
          <w:b w:val="0"/>
        </w:rPr>
        <w:br/>
      </w:r>
      <w:r>
        <w:rPr>
          <w:b w:val="0"/>
        </w:rPr>
        <w:t xml:space="preserve">не с личностью </w:t>
      </w:r>
      <w:r>
        <w:rPr>
          <w:b w:val="0"/>
        </w:rPr>
        <w:t xml:space="preserve">обучающегося</w:t>
      </w:r>
      <w:r>
        <w:rPr>
          <w:b w:val="0"/>
        </w:rPr>
        <w:t xml:space="preserve">, а с деструктивным поведением и последствиями проступка.</w:t>
      </w:r>
      <w:r>
        <w:rPr>
          <w:b w:val="0"/>
        </w:rPr>
      </w:r>
    </w:p>
    <w:p>
      <w:pPr>
        <w:pStyle w:val="782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jc w:val="center"/>
        <w:rPr>
          <w:b w:val="0"/>
        </w:rPr>
      </w:pPr>
      <w:r>
        <w:t xml:space="preserve">Алгоритм</w:t>
      </w:r>
      <w:r>
        <w:t xml:space="preserve"> действий</w:t>
      </w:r>
      <w:r>
        <w:t xml:space="preserve"> 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t xml:space="preserve">Этап 1</w:t>
      </w:r>
      <w:r>
        <w:rPr>
          <w:b w:val="0"/>
        </w:rPr>
        <w:t xml:space="preserve">: </w:t>
      </w:r>
      <w:r>
        <w:rPr>
          <w:b w:val="0"/>
        </w:rPr>
        <w:t xml:space="preserve">О</w:t>
      </w:r>
      <w:r>
        <w:rPr>
          <w:b w:val="0"/>
        </w:rPr>
        <w:t xml:space="preserve">беспечение безопасности</w:t>
      </w:r>
      <w:r>
        <w:rPr>
          <w:b w:val="0"/>
        </w:rPr>
        <w:t xml:space="preserve">,</w:t>
      </w:r>
      <w:r>
        <w:rPr>
          <w:b w:val="0"/>
        </w:rPr>
        <w:t xml:space="preserve"> </w:t>
      </w:r>
      <w:r>
        <w:rPr>
          <w:b w:val="0"/>
        </w:rPr>
        <w:t xml:space="preserve">ф</w:t>
      </w:r>
      <w:r>
        <w:rPr>
          <w:b w:val="0"/>
        </w:rPr>
        <w:t xml:space="preserve">иксация инцидента </w:t>
      </w:r>
      <w:r>
        <w:rPr>
          <w:b w:val="0"/>
        </w:rPr>
        <w:t xml:space="preserve">и анализ конфликта.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Действие: </w:t>
      </w:r>
      <w:r>
        <w:rPr>
          <w:b w:val="0"/>
        </w:rPr>
        <w:t xml:space="preserve">н</w:t>
      </w:r>
      <w:r>
        <w:rPr>
          <w:b w:val="0"/>
        </w:rPr>
        <w:t xml:space="preserve">емедленное пресечение физического насилия или оскорблений.</w:t>
      </w:r>
      <w:r>
        <w:rPr>
          <w:b w:val="0"/>
        </w:rPr>
        <w:t xml:space="preserve"> Доведение информации до руководителя образовательной организации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Тактика: развести стороны физически (в разные помещения). Исключить поддержку «группы поддержки», которая подогревает агрессию.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Перед началом активных действий необходимо собрать «карту конфликта», ответив на вопросы: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социологический срез: какова иерархия в группе? Не является </w:t>
      </w:r>
      <w:r>
        <w:rPr>
          <w:b w:val="0"/>
        </w:rPr>
        <w:br/>
        <w:t xml:space="preserve">ли инцидент эпизодом системной травли изгоя? Есть ли влияние неформальных лидеров или национально-культурных различий?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педагогический срез: произошел ли конфликт во время учебного процесса (несправедливая оценка, скука, перегрузка) или во внеурочное время?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психологический срез: каков темперамент и акцентуации участников? </w:t>
      </w:r>
      <w:r>
        <w:rPr>
          <w:b w:val="0"/>
        </w:rPr>
        <w:br/>
        <w:t xml:space="preserve">В какой фазе стресса они находятся (аффект, плато, истощение)?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Психология эмоций: </w:t>
      </w:r>
      <w:r>
        <w:rPr>
          <w:b w:val="0"/>
        </w:rPr>
        <w:t xml:space="preserve">н</w:t>
      </w:r>
      <w:r>
        <w:rPr>
          <w:b w:val="0"/>
        </w:rPr>
        <w:t xml:space="preserve">е вести диалог с подростком в состоянии аффекта. Дать время на «эмоциональную вентиляцию» (воду, возможность молча посидеть) под присмотром взрослого, но без </w:t>
      </w:r>
      <w:r>
        <w:rPr>
          <w:b w:val="0"/>
        </w:rPr>
        <w:t xml:space="preserve">вопросов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Этап 2</w:t>
      </w:r>
      <w:r>
        <w:rPr>
          <w:b w:val="0"/>
        </w:rPr>
        <w:t xml:space="preserve">: Индивидуальные беседы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Проводятся строго по отдельности.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Позиция педагога: </w:t>
      </w:r>
      <w:r>
        <w:rPr>
          <w:b w:val="0"/>
        </w:rPr>
        <w:t xml:space="preserve">н</w:t>
      </w:r>
      <w:r>
        <w:rPr>
          <w:b w:val="0"/>
        </w:rPr>
        <w:t xml:space="preserve">е судья, а исследователь.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Схема беседы: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1. Проговорить факты: «Я видел/слышал, что произошла драка».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2. Спросить о чувствах: «Что ты сейчас чувствуешь?» (Злость, обиду, страх).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3. Озвучить потребность: «Я понимаю, ты хотел доказать, что ты сильный...» или «Ты хотел, чтобы тебя перестали задевать...».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Педологический акцент: </w:t>
      </w:r>
      <w:r>
        <w:rPr>
          <w:b w:val="0"/>
        </w:rPr>
        <w:t xml:space="preserve">в</w:t>
      </w:r>
      <w:r>
        <w:rPr>
          <w:b w:val="0"/>
        </w:rPr>
        <w:t xml:space="preserve">ыяснить контекст — соматическое состояние (голоден, не выспался, болен), конфликты в семье, игровая зависимость.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Этап 3</w:t>
      </w:r>
      <w:r>
        <w:rPr>
          <w:b w:val="0"/>
        </w:rPr>
        <w:t xml:space="preserve">: Выбор стратегии вмешательства</w:t>
      </w:r>
      <w:r>
        <w:rPr>
          <w:b w:val="0"/>
        </w:rPr>
        <w:t xml:space="preserve">.</w:t>
      </w:r>
      <w:r>
        <w:rPr>
          <w:b w:val="0"/>
        </w:rPr>
        <w:t xml:space="preserve"> 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В зависимости от </w:t>
      </w:r>
      <w:r>
        <w:rPr>
          <w:b w:val="0"/>
        </w:rPr>
        <w:t xml:space="preserve">характера и природы конфликта</w:t>
      </w:r>
      <w:r>
        <w:rPr>
          <w:b w:val="0"/>
        </w:rPr>
        <w:t xml:space="preserve"> выбирается путь урегулирования: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Тип 1</w:t>
      </w:r>
      <w:r>
        <w:rPr>
          <w:b w:val="0"/>
        </w:rPr>
        <w:t xml:space="preserve">. Деловой (учебный) спор.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Причина: Несогласие по учебной задаче, конкуренция за оценки.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Решение: Арбитраж преподавателя-предметника. Превращение спора в учебную дискуссию с четкими правилами.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Тип 2</w:t>
      </w:r>
      <w:r>
        <w:rPr>
          <w:b w:val="0"/>
        </w:rPr>
        <w:t xml:space="preserve">. Межличностный конфликт (столкновение характеров).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Причина: Оскорбление, сплетни, борьба за статус.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Решение: Восстановительная медиация или «Круг сообщества».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Техника: Стороны встречаются добровольно. Медиатор (специально обученный педагог или студент-волонтер службы примирения) задает вопросы: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«Что произошло с твоей точки зрения?»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«Что ты чувствовал в тот момент?»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«Кому и какой был причинен вред?»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«Как мы можем этот вред загладить?»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Тип 3</w:t>
      </w:r>
      <w:r>
        <w:rPr>
          <w:b w:val="0"/>
        </w:rPr>
        <w:t xml:space="preserve">. Статусный конфликт / </w:t>
      </w:r>
      <w:r>
        <w:rPr>
          <w:b w:val="0"/>
        </w:rPr>
        <w:t xml:space="preserve">Травля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Важно! Медиация при травле классической схемой не проводится (она </w:t>
      </w:r>
      <w:r>
        <w:rPr>
          <w:b w:val="0"/>
        </w:rPr>
        <w:t xml:space="preserve">ретравмирует</w:t>
      </w:r>
      <w:r>
        <w:rPr>
          <w:b w:val="0"/>
        </w:rPr>
        <w:t xml:space="preserve"> жертву).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Решение: </w:t>
      </w:r>
      <w:r>
        <w:rPr>
          <w:b w:val="0"/>
        </w:rPr>
        <w:t xml:space="preserve">п</w:t>
      </w:r>
      <w:r>
        <w:rPr>
          <w:b w:val="0"/>
        </w:rPr>
        <w:t xml:space="preserve">рим</w:t>
      </w:r>
      <w:r>
        <w:rPr>
          <w:b w:val="0"/>
        </w:rPr>
        <w:t xml:space="preserve">еняется «Метод разделения групповой динамики»: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Моральное давление на агрессора и его свиту со стороны значимого взрослого (обозначение недопустимости насилия без обсуждения «вины жертвы»).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Поддержка и усиление позиции жертвы (повышение самооценки, включение в другую успешную деятельность).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Работа со свидетелями — изменение их позиции с молчаливого согласия </w:t>
      </w:r>
      <w:r>
        <w:rPr>
          <w:b w:val="0"/>
        </w:rPr>
        <w:br/>
      </w:r>
      <w:r>
        <w:rPr>
          <w:b w:val="0"/>
        </w:rPr>
        <w:t xml:space="preserve">на осуждение.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t xml:space="preserve">Этап 4</w:t>
      </w:r>
      <w:r>
        <w:rPr>
          <w:b w:val="0"/>
        </w:rPr>
        <w:t xml:space="preserve">: Заключение контракта (Педагогическое соглашение)</w:t>
      </w:r>
      <w:r>
        <w:rPr>
          <w:b w:val="0"/>
        </w:rPr>
        <w:t xml:space="preserve">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Выход из конфликта </w:t>
      </w:r>
      <w:r>
        <w:rPr>
          <w:b w:val="0"/>
        </w:rPr>
        <w:t xml:space="preserve">может</w:t>
      </w:r>
      <w:r>
        <w:rPr>
          <w:b w:val="0"/>
        </w:rPr>
        <w:t xml:space="preserve"> быть оформлен документально (в зависимости </w:t>
      </w:r>
      <w:r>
        <w:rPr>
          <w:b w:val="0"/>
        </w:rPr>
        <w:br/>
      </w:r>
      <w:r>
        <w:rPr>
          <w:b w:val="0"/>
        </w:rPr>
        <w:t xml:space="preserve">от тяжести) и вербально.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Для несовершеннолетних</w:t>
      </w:r>
      <w:r>
        <w:rPr>
          <w:b w:val="0"/>
        </w:rPr>
        <w:t xml:space="preserve"> обучающихся:</w:t>
      </w:r>
      <w:r>
        <w:rPr>
          <w:b w:val="0"/>
        </w:rPr>
        <w:t xml:space="preserve"> </w:t>
      </w:r>
      <w:r>
        <w:rPr>
          <w:b w:val="0"/>
        </w:rPr>
        <w:t xml:space="preserve">у</w:t>
      </w:r>
      <w:r>
        <w:rPr>
          <w:b w:val="0"/>
        </w:rPr>
        <w:t xml:space="preserve">стный или письменный договор </w:t>
      </w:r>
      <w:r>
        <w:rPr>
          <w:b w:val="0"/>
        </w:rPr>
        <w:br/>
      </w:r>
      <w:r>
        <w:rPr>
          <w:b w:val="0"/>
        </w:rPr>
        <w:t xml:space="preserve">в присутствии родителей.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Для </w:t>
      </w:r>
      <w:r>
        <w:rPr>
          <w:b w:val="0"/>
        </w:rPr>
        <w:t xml:space="preserve">совершеннолетних обучающихся -</w:t>
      </w:r>
      <w:r>
        <w:rPr>
          <w:b w:val="0"/>
        </w:rPr>
        <w:t xml:space="preserve"> «Примирительный договор» между сторонами без родителей, где фиксируются конкретные поведенческие шаги (например, «буду обращаться на „Вы“ в лаборатории», «воздержусь </w:t>
      </w:r>
      <w:r>
        <w:rPr>
          <w:b w:val="0"/>
        </w:rPr>
        <w:br/>
      </w:r>
      <w:r>
        <w:rPr>
          <w:b w:val="0"/>
        </w:rPr>
        <w:t xml:space="preserve">от комментариев в соцсетях группы»).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Категорически запрещается: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</w:t>
      </w:r>
      <w:r>
        <w:rPr>
          <w:b w:val="0"/>
        </w:rPr>
        <w:t xml:space="preserve">Публичный «разбор полетов» на линейке или перед всей группой </w:t>
      </w:r>
      <w:r>
        <w:rPr>
          <w:b w:val="0"/>
        </w:rPr>
        <w:br/>
      </w:r>
      <w:r>
        <w:rPr>
          <w:b w:val="0"/>
        </w:rPr>
        <w:t xml:space="preserve">до завершения процесса примирения (вызывает стигматизацию и суицидальные риски).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</w:t>
      </w:r>
      <w:r>
        <w:rPr>
          <w:b w:val="0"/>
        </w:rPr>
        <w:t xml:space="preserve">Вызывать родителей для немедленной расправы над </w:t>
      </w:r>
      <w:r>
        <w:rPr>
          <w:b w:val="0"/>
        </w:rPr>
        <w:t xml:space="preserve">обучающимся</w:t>
      </w:r>
      <w:r>
        <w:rPr>
          <w:b w:val="0"/>
        </w:rPr>
        <w:t xml:space="preserve"> при нем же. Это разрушает учебную мотивацию и доверие к организации.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</w:t>
      </w:r>
      <w:r>
        <w:rPr>
          <w:b w:val="0"/>
        </w:rPr>
        <w:t xml:space="preserve">Применять фразы: «Ты ведешь себя как маленький», «Мальчики </w:t>
      </w:r>
      <w:r>
        <w:rPr>
          <w:b w:val="0"/>
        </w:rPr>
        <w:br/>
      </w:r>
      <w:r>
        <w:rPr>
          <w:b w:val="0"/>
        </w:rPr>
        <w:t xml:space="preserve">не плачут», «Ты сама виновата» (игнорирование психологии пола и возраста).</w:t>
      </w:r>
      <w:r>
        <w:rPr>
          <w:b w:val="0"/>
        </w:rPr>
      </w:r>
    </w:p>
    <w:p>
      <w:pPr>
        <w:pStyle w:val="782"/>
        <w:ind w:firstLine="708"/>
        <w:jc w:val="both"/>
        <w:rPr>
          <w:b w:val="0"/>
        </w:rPr>
      </w:pPr>
      <w:r>
        <w:rPr>
          <w:b w:val="0"/>
        </w:rPr>
        <w:t xml:space="preserve">- </w:t>
      </w:r>
      <w:r>
        <w:rPr>
          <w:b w:val="0"/>
        </w:rPr>
        <w:t xml:space="preserve">Оставлять конфликт без контроля, надеясь, что «сами разберутся» </w:t>
      </w:r>
      <w:r>
        <w:rPr>
          <w:b w:val="0"/>
        </w:rPr>
        <w:br/>
      </w:r>
      <w:r>
        <w:rPr>
          <w:b w:val="0"/>
        </w:rPr>
        <w:t xml:space="preserve">в закрытом сообществе (риск перехода в </w:t>
      </w:r>
      <w:r>
        <w:rPr>
          <w:b w:val="0"/>
        </w:rPr>
        <w:t xml:space="preserve">буллинг</w:t>
      </w:r>
      <w:r>
        <w:rPr>
          <w:b w:val="0"/>
        </w:rPr>
        <w:t xml:space="preserve"> или криминальный исход).</w:t>
      </w:r>
      <w:r>
        <w:rPr>
          <w:b w:val="0"/>
        </w:rPr>
      </w:r>
    </w:p>
    <w:p>
      <w:pPr>
        <w:pStyle w:val="782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jc w:val="center"/>
        <w:rPr>
          <w:b w:val="0"/>
        </w:rPr>
      </w:pPr>
      <w:r>
        <w:t xml:space="preserve">Профилактическая работа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Для предотвращения конфликтов необходимо создать «среду без насилия»: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1. Тренинги </w:t>
      </w:r>
      <w:r>
        <w:rPr>
          <w:b w:val="0"/>
        </w:rPr>
        <w:t xml:space="preserve">ассертивного</w:t>
      </w:r>
      <w:r>
        <w:rPr>
          <w:b w:val="0"/>
        </w:rPr>
        <w:t xml:space="preserve"> поведения: Обучение навыкам уверенного, но </w:t>
      </w:r>
      <w:r>
        <w:rPr>
          <w:b w:val="0"/>
        </w:rPr>
        <w:br/>
      </w:r>
      <w:r>
        <w:rPr>
          <w:b w:val="0"/>
        </w:rPr>
        <w:t xml:space="preserve">не агрессивного отстаивания границ (техники «Я-высказывания», «Заезженная пластинка»).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2. Социометрия и реструктуризация групп: Кураторы должны знать реальную структуру группы. Нельзя допускать устойчивой изоляции одного человека. Изменение состава </w:t>
      </w:r>
      <w:r>
        <w:rPr>
          <w:b w:val="0"/>
        </w:rPr>
        <w:t xml:space="preserve">микрогрупп</w:t>
      </w:r>
      <w:r>
        <w:rPr>
          <w:b w:val="0"/>
        </w:rPr>
        <w:t xml:space="preserve"> через временные проектные команды.</w:t>
      </w:r>
      <w:r>
        <w:rPr>
          <w:b w:val="0"/>
        </w:rPr>
      </w:r>
    </w:p>
    <w:p>
      <w:pPr>
        <w:pStyle w:val="782"/>
        <w:ind w:firstLine="709"/>
        <w:jc w:val="both"/>
        <w:rPr>
          <w:b w:val="0"/>
        </w:rPr>
      </w:pPr>
      <w:r>
        <w:rPr>
          <w:b w:val="0"/>
        </w:rPr>
        <w:t xml:space="preserve">3. Создание «Служб школьной/студенческой медиации»: Подготовка ровесников-медиаторов среди самих обучающихся. Авторитет сверстника </w:t>
      </w:r>
      <w:r>
        <w:rPr>
          <w:b w:val="0"/>
        </w:rPr>
        <w:br/>
      </w:r>
      <w:r>
        <w:rPr>
          <w:b w:val="0"/>
        </w:rPr>
        <w:t xml:space="preserve">в 16–18 лет часто выше авторитета преподавателя.</w:t>
      </w:r>
      <w:r>
        <w:rPr>
          <w:b w:val="0"/>
        </w:rPr>
      </w:r>
    </w:p>
    <w:p>
      <w:pPr>
        <w:pStyle w:val="782"/>
        <w:jc w:val="both"/>
        <w:rPr>
          <w:b w:val="0"/>
        </w:rPr>
      </w:pPr>
      <w:r>
        <w:rPr>
          <w:b w:val="0"/>
        </w:rPr>
      </w:r>
      <w:r>
        <w:rPr>
          <w:b w:val="0"/>
        </w:rPr>
      </w:r>
    </w:p>
    <w:p>
      <w:pPr>
        <w:pStyle w:val="782"/>
        <w:jc w:val="center"/>
        <w:rPr>
          <w:b w:val="0"/>
          <w:szCs w:val="20"/>
        </w:rPr>
      </w:pPr>
      <w:r>
        <w:rPr>
          <w:szCs w:val="20"/>
        </w:rPr>
        <w:t xml:space="preserve">Дополнительные рекомендации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1. </w:t>
      </w:r>
      <w:r>
        <w:rPr>
          <w:b w:val="0"/>
          <w:szCs w:val="20"/>
        </w:rPr>
        <w:t xml:space="preserve">Усилить проведение просветительской деятельности и разъяснительной работы, направленной на повышение уровня правовой культуры участников образовательных отношений.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2. </w:t>
      </w:r>
      <w:r>
        <w:rPr>
          <w:b w:val="0"/>
          <w:szCs w:val="20"/>
        </w:rPr>
        <w:t xml:space="preserve">Включать в работу медиацию и психологическое сопровождение всех сторон конфликтной ситуации.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3</w:t>
      </w:r>
      <w:r>
        <w:rPr>
          <w:b w:val="0"/>
          <w:szCs w:val="20"/>
        </w:rPr>
        <w:t xml:space="preserve">. Обеспечить максимальную открытость и прозрачность деятельности в организации, документировать все решения.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4</w:t>
      </w:r>
      <w:r>
        <w:rPr>
          <w:b w:val="0"/>
          <w:szCs w:val="20"/>
        </w:rPr>
        <w:t xml:space="preserve">. </w:t>
      </w:r>
      <w:r>
        <w:rPr>
          <w:b w:val="0"/>
          <w:szCs w:val="20"/>
        </w:rPr>
        <w:t xml:space="preserve">Кураторам групп необходимо</w:t>
      </w:r>
      <w:r>
        <w:rPr>
          <w:b w:val="0"/>
          <w:szCs w:val="20"/>
        </w:rPr>
        <w:t xml:space="preserve"> осуществлять контроль и проводить профилактические меры, направленные на минимизацию рисков повторения конфликтных ситуаций.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5</w:t>
      </w:r>
      <w:r>
        <w:rPr>
          <w:b w:val="0"/>
          <w:szCs w:val="20"/>
        </w:rPr>
        <w:t xml:space="preserve">. Своевременно выявлять несовершеннолетних и семьи, находящиеся в социально опасном положении, для оказания им социально-психологической и педагогической помощи.</w:t>
      </w:r>
      <w:r>
        <w:rPr>
          <w:b w:val="0"/>
          <w:szCs w:val="20"/>
        </w:rPr>
      </w:r>
    </w:p>
    <w:p>
      <w:pPr>
        <w:pStyle w:val="782"/>
        <w:ind w:firstLine="708"/>
        <w:jc w:val="both"/>
        <w:rPr>
          <w:b w:val="0"/>
          <w:szCs w:val="20"/>
        </w:rPr>
      </w:pPr>
      <w:r>
        <w:rPr>
          <w:b w:val="0"/>
          <w:szCs w:val="20"/>
        </w:rPr>
        <w:t xml:space="preserve">6</w:t>
      </w:r>
      <w:r>
        <w:rPr>
          <w:b w:val="0"/>
          <w:szCs w:val="20"/>
        </w:rPr>
        <w:t xml:space="preserve">. В целях выявления и устранения причин и условий, способствующих правонарушениям и антиобщественным действиям несовершеннолетних, организовывать осуществление индивидуальной профилактической работы с детьми для предупреждения п</w:t>
      </w:r>
      <w:r>
        <w:rPr>
          <w:b w:val="0"/>
          <w:szCs w:val="20"/>
        </w:rPr>
        <w:t xml:space="preserve">равонарушений либо для оказания социальной помощи и (или) реабилитации несовершеннолетних, а также с их родителями или иными законными представителями несовершеннолетних, если они не исполняют свои обязанности по их воспитанию, обучению и (или) содержанию.</w:t>
      </w:r>
      <w:r>
        <w:rPr>
          <w:b w:val="0"/>
          <w:szCs w:val="20"/>
        </w:rPr>
      </w:r>
    </w:p>
    <w:p>
      <w:pPr>
        <w:pStyle w:val="782"/>
        <w:jc w:val="both"/>
        <w:rPr>
          <w:b w:val="0"/>
          <w:szCs w:val="20"/>
        </w:rPr>
      </w:pPr>
      <w:r>
        <w:rPr>
          <w:b w:val="0"/>
          <w:szCs w:val="20"/>
        </w:rPr>
      </w:r>
      <w:r>
        <w:rPr>
          <w:b w:val="0"/>
          <w:szCs w:val="20"/>
        </w:rPr>
      </w:r>
    </w:p>
    <w:sectPr>
      <w:headerReference w:type="default" r:id="rId9"/>
      <w:footnotePr/>
      <w:endnotePr/>
      <w:type w:val="nextPage"/>
      <w:pgSz w:w="11906" w:h="16838" w:orient="portrait"/>
      <w:pgMar w:top="1134" w:right="851" w:bottom="1134" w:left="1418" w:header="709" w:footer="709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Courier New">
    <w:panose1 w:val="02070309020205020404"/>
  </w:font>
  <w:font w:name="Cambria">
    <w:panose1 w:val="02040503050406030204"/>
  </w:font>
  <w:font w:name="Arial">
    <w:panose1 w:val="020B0604020202020204"/>
  </w:font>
  <w:font w:name="Verdana">
    <w:panose1 w:val="020B0604030504040204"/>
  </w:font>
  <w:font w:name="Tahoma">
    <w:panose1 w:val="020B0604030504040204"/>
  </w:font>
  <w:font w:name="Wingdings">
    <w:panose1 w:val="05000000000000000000"/>
  </w:font>
  <w:font w:name="Liberation Sans">
    <w:panose1 w:val="020B0604020202020204"/>
  </w:font>
  <w:font w:name="Times New Roman">
    <w:panose1 w:val="02020603050405020304"/>
  </w:font>
  <w:font w:name="Calibri">
    <w:panose1 w:val="020F0502020204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9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 xml:space="preserve">34</w:t>
    </w:r>
    <w:r>
      <w:fldChar w:fldCharType="end"/>
    </w:r>
    <w:r/>
  </w:p>
  <w:p>
    <w:pPr>
      <w:contextualSpacing/>
      <w:jc w:val="right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"/>
      <w:lvlJc w:val="left"/>
      <w:pPr>
        <w:ind w:left="1485" w:hanging="360"/>
        <w:tabs>
          <w:tab w:val="num" w:pos="1485" w:leader="none"/>
        </w:tabs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205" w:hanging="360"/>
        <w:tabs>
          <w:tab w:val="num" w:pos="2205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925" w:hanging="360"/>
        <w:tabs>
          <w:tab w:val="num" w:pos="2925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45" w:hanging="360"/>
        <w:tabs>
          <w:tab w:val="num" w:pos="3645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65" w:hanging="360"/>
        <w:tabs>
          <w:tab w:val="num" w:pos="4365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85" w:hanging="360"/>
        <w:tabs>
          <w:tab w:val="num" w:pos="5085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805" w:hanging="360"/>
        <w:tabs>
          <w:tab w:val="num" w:pos="5805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525" w:hanging="360"/>
        <w:tabs>
          <w:tab w:val="num" w:pos="6525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45" w:hanging="360"/>
        <w:tabs>
          <w:tab w:val="num" w:pos="7245" w:leader="none"/>
        </w:tabs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bullet"/>
      <w:isLgl w:val="false"/>
      <w:suff w:val="tab"/>
      <w:lvlText w:val=""/>
      <w:lvlJc w:val="left"/>
      <w:pPr>
        <w:ind w:left="1440" w:hanging="720"/>
      </w:pPr>
      <w:rPr>
        <w:rFonts w:hint="default" w:ascii="Symbol" w:hAnsi="Symbol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146" w:hanging="720"/>
      </w:pPr>
      <w:rPr>
        <w:rFonts w:hint="default"/>
        <w:b/>
        <w:i w:val="0"/>
      </w:rPr>
    </w:lvl>
    <w:lvl w:ilvl="2">
      <w:start w:val="1"/>
      <w:numFmt w:val="decimal"/>
      <w:isLgl/>
      <w:suff w:val="tab"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"/>
      <w:lvlJc w:val="left"/>
      <w:pPr>
        <w:ind w:left="1440" w:hanging="360"/>
        <w:tabs>
          <w:tab w:val="num" w:pos="1440" w:leader="none"/>
        </w:tabs>
      </w:pPr>
      <w:rPr>
        <w:rFonts w:hint="default" w:ascii="Symbol" w:hAnsi="Symbol"/>
      </w:rPr>
    </w:lvl>
    <w:lvl w:ilvl="2">
      <w:start w:val="1"/>
      <w:numFmt w:val="bullet"/>
      <w:isLgl w:val="false"/>
      <w:suff w:val="tab"/>
      <w:lvlText w:val=""/>
      <w:lvlJc w:val="left"/>
      <w:pPr>
        <w:ind w:left="2160" w:hanging="360"/>
        <w:tabs>
          <w:tab w:val="num" w:pos="2160" w:leader="none"/>
        </w:tabs>
      </w:pPr>
      <w:rPr>
        <w:rFonts w:hint="default" w:ascii="Symbol" w:hAnsi="Symbol"/>
      </w:rPr>
    </w:lvl>
    <w:lvl w:ilvl="3">
      <w:start w:val="1"/>
      <w:numFmt w:val="bullet"/>
      <w:isLgl w:val="false"/>
      <w:suff w:val="tab"/>
      <w:lvlText w:val="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"/>
      <w:lvlJc w:val="left"/>
      <w:pPr>
        <w:ind w:left="3600" w:hanging="360"/>
        <w:tabs>
          <w:tab w:val="num" w:pos="3600" w:leader="none"/>
        </w:tabs>
      </w:pPr>
      <w:rPr>
        <w:rFonts w:hint="default" w:ascii="Symbol" w:hAnsi="Symbol"/>
      </w:rPr>
    </w:lvl>
    <w:lvl w:ilvl="5">
      <w:start w:val="1"/>
      <w:numFmt w:val="bullet"/>
      <w:isLgl w:val="false"/>
      <w:suff w:val="tab"/>
      <w:lvlText w:val=""/>
      <w:lvlJc w:val="left"/>
      <w:pPr>
        <w:ind w:left="4320" w:hanging="360"/>
        <w:tabs>
          <w:tab w:val="num" w:pos="4320" w:leader="none"/>
        </w:tabs>
      </w:pPr>
      <w:rPr>
        <w:rFonts w:hint="default" w:ascii="Symbol" w:hAnsi="Symbol"/>
      </w:rPr>
    </w:lvl>
    <w:lvl w:ilvl="6">
      <w:start w:val="1"/>
      <w:numFmt w:val="bullet"/>
      <w:isLgl w:val="false"/>
      <w:suff w:val="tab"/>
      <w:lvlText w:val="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"/>
      <w:lvlJc w:val="left"/>
      <w:pPr>
        <w:ind w:left="5760" w:hanging="360"/>
        <w:tabs>
          <w:tab w:val="num" w:pos="5760" w:leader="none"/>
        </w:tabs>
      </w:pPr>
      <w:rPr>
        <w:rFonts w:hint="default" w:ascii="Symbol" w:hAnsi="Symbol"/>
      </w:rPr>
    </w:lvl>
    <w:lvl w:ilvl="8">
      <w:start w:val="1"/>
      <w:numFmt w:val="bullet"/>
      <w:isLgl w:val="false"/>
      <w:suff w:val="tab"/>
      <w:lvlText w:val=""/>
      <w:lvlJc w:val="left"/>
      <w:pPr>
        <w:ind w:left="6480" w:hanging="360"/>
        <w:tabs>
          <w:tab w:val="num" w:pos="6480" w:leader="none"/>
        </w:tabs>
      </w:pPr>
      <w:rPr>
        <w:rFonts w:hint="default" w:ascii="Symbol" w:hAnsi="Symbol"/>
      </w:rPr>
    </w:lvl>
  </w:abstractNum>
  <w:abstractNum w:abstractNumId="6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isLgl w:val="false"/>
      <w:suff w:val="tab"/>
      <w:lvlText w:val="%1.%2."/>
      <w:lvlJc w:val="left"/>
      <w:pPr>
        <w:ind w:left="1146" w:hanging="720"/>
      </w:pPr>
      <w:rPr>
        <w:rFonts w:hint="default"/>
        <w:b/>
        <w:i/>
      </w:rPr>
    </w:lvl>
    <w:lvl w:ilvl="2">
      <w:start w:val="1"/>
      <w:numFmt w:val="decimal"/>
      <w:isLgl w:val="false"/>
      <w:suff w:val="tab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  <w:b/>
        <w:i/>
      </w:rPr>
    </w:lvl>
    <w:lvl w:ilvl="1">
      <w:start w:val="2"/>
      <w:numFmt w:val="decimal"/>
      <w:isLgl w:val="false"/>
      <w:suff w:val="tab"/>
      <w:lvlText w:val="%1.%2."/>
      <w:lvlJc w:val="left"/>
      <w:pPr>
        <w:ind w:left="1430" w:hanging="720"/>
      </w:pPr>
      <w:rPr>
        <w:rFonts w:hint="default"/>
        <w:i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40" w:hanging="720"/>
      </w:pPr>
      <w:rPr>
        <w:rFonts w:hint="default"/>
        <w:i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10" w:hanging="1080"/>
      </w:pPr>
      <w:rPr>
        <w:rFonts w:hint="default"/>
        <w:i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20" w:hanging="1080"/>
      </w:pPr>
      <w:rPr>
        <w:rFonts w:hint="default"/>
        <w:i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90" w:hanging="1440"/>
      </w:pPr>
      <w:rPr>
        <w:rFonts w:hint="default"/>
        <w:i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60" w:hanging="1800"/>
      </w:pPr>
      <w:rPr>
        <w:rFonts w:hint="default"/>
        <w:i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70" w:hanging="1800"/>
      </w:pPr>
      <w:rPr>
        <w:rFonts w:hint="default"/>
        <w:i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40" w:hanging="2160"/>
      </w:pPr>
      <w:rPr>
        <w:rFonts w:hint="default"/>
        <w:i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365" w:hanging="825"/>
        <w:tabs>
          <w:tab w:val="num" w:pos="1365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620" w:hanging="360"/>
        <w:tabs>
          <w:tab w:val="num" w:pos="162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340" w:hanging="180"/>
        <w:tabs>
          <w:tab w:val="num" w:pos="234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3060" w:hanging="360"/>
        <w:tabs>
          <w:tab w:val="num" w:pos="306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780" w:hanging="360"/>
        <w:tabs>
          <w:tab w:val="num" w:pos="378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500" w:hanging="180"/>
        <w:tabs>
          <w:tab w:val="num" w:pos="450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220" w:hanging="360"/>
        <w:tabs>
          <w:tab w:val="num" w:pos="522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940" w:hanging="360"/>
        <w:tabs>
          <w:tab w:val="num" w:pos="594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660" w:hanging="180"/>
        <w:tabs>
          <w:tab w:val="num" w:pos="6660" w:leader="none"/>
        </w:tabs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1129" w:hanging="420"/>
      </w:pPr>
      <w:rPr>
        <w:rFonts w:hint="default"/>
        <w:color w:val="auto"/>
      </w:rPr>
    </w:lvl>
    <w:lvl w:ilvl="2">
      <w:start w:val="1"/>
      <w:numFmt w:val="decimal"/>
      <w:isLgl w:val="false"/>
      <w:suff w:val="tab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 w:cs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 w:cs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  <w:b w:val="0"/>
        <w:i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isLgl w:val="false"/>
      <w:suff w:val="tab"/>
      <w:lvlText w:val="%1.%2."/>
      <w:lvlJc w:val="left"/>
      <w:pPr>
        <w:ind w:left="1430" w:hanging="720"/>
      </w:pPr>
      <w:rPr>
        <w:rFonts w:hint="default"/>
        <w:i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78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50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322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94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66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38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610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82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549" w:hanging="360"/>
      </w:pPr>
      <w:rPr>
        <w:rFonts w:hint="default" w:ascii="Wingdings" w:hAnsi="Wingdings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352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2072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792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12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232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952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672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392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12" w:hanging="180"/>
      </w:p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"/>
      <w:lvlJc w:val="left"/>
      <w:pPr>
        <w:ind w:left="1429" w:hanging="360"/>
        <w:tabs>
          <w:tab w:val="num" w:pos="1429" w:leader="none"/>
        </w:tabs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  <w:tabs>
          <w:tab w:val="num" w:pos="2149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  <w:tabs>
          <w:tab w:val="num" w:pos="2869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  <w:tabs>
          <w:tab w:val="num" w:pos="3589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  <w:tabs>
          <w:tab w:val="num" w:pos="4309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  <w:tabs>
          <w:tab w:val="num" w:pos="5029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  <w:tabs>
          <w:tab w:val="num" w:pos="5749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  <w:tabs>
          <w:tab w:val="num" w:pos="6469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  <w:tabs>
          <w:tab w:val="num" w:pos="7189" w:leader="none"/>
        </w:tabs>
      </w:pPr>
      <w:rPr>
        <w:rFonts w:hint="default" w:ascii="Wingdings" w:hAnsi="Wingdings"/>
      </w:r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8" w:hanging="360"/>
      </w:pPr>
      <w:rPr>
        <w:rFonts w:hint="default" w:ascii="Symbol" w:hAnsi="Symbol"/>
        <w:color w:val="auto"/>
      </w:rPr>
    </w:lvl>
    <w:lvl w:ilvl="1">
      <w:start w:val="1"/>
      <w:numFmt w:val="bullet"/>
      <w:isLgl w:val="false"/>
      <w:suff w:val="tab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0">
    <w:multiLevelType w:val="hybridMultilevel"/>
    <w:lvl w:ilvl="0">
      <w:start w:val="1"/>
      <w:numFmt w:val="decimal"/>
      <w:isLgl w:val="false"/>
      <w:suff w:val="tab"/>
      <w:lvlText w:val="%1.1"/>
      <w:lvlJc w:val="left"/>
      <w:pPr>
        <w:ind w:left="1440" w:hanging="360"/>
      </w:pPr>
      <w:rPr>
        <w:rFonts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1">
    <w:multiLevelType w:val="hybridMultilevel"/>
    <w:lvl w:ilvl="0">
      <w:start w:val="2"/>
      <w:numFmt w:val="bullet"/>
      <w:isLgl w:val="false"/>
      <w:suff w:val="tab"/>
      <w:lvlText w:val="-"/>
      <w:lvlJc w:val="left"/>
      <w:pPr>
        <w:ind w:left="1068" w:hanging="360"/>
      </w:pPr>
      <w:rPr>
        <w:rFonts w:hint="default" w:ascii="Times New Roman" w:hAnsi="Times New Roman" w:eastAsia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2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38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  <w:color w:val="auto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14" w:hanging="705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50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22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94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6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8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10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82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54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69" w:hanging="360"/>
      </w:pPr>
      <w:rPr>
        <w:rFonts w:hint="default" w:ascii="Wingdings" w:hAnsi="Wingdings"/>
      </w:r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suff w:val="tab"/>
      <w:lvlText w:val="%1.%2"/>
      <w:lvlJc w:val="left"/>
      <w:pPr>
        <w:ind w:left="943" w:hanging="375"/>
      </w:pPr>
      <w:rPr>
        <w:rFonts w:hint="default"/>
        <w:i w:val="0"/>
        <w:color w:val="auto"/>
      </w:rPr>
    </w:lvl>
    <w:lvl w:ilvl="2">
      <w:start w:val="1"/>
      <w:numFmt w:val="decimal"/>
      <w:isLgl/>
      <w:suff w:val="tab"/>
      <w:lvlText w:val="%1.%2.%3"/>
      <w:lvlJc w:val="left"/>
      <w:pPr>
        <w:ind w:left="2498" w:hanging="720"/>
      </w:pPr>
      <w:rPr>
        <w:rFonts w:hint="default"/>
      </w:rPr>
    </w:lvl>
    <w:lvl w:ilvl="3">
      <w:start w:val="1"/>
      <w:numFmt w:val="decimal"/>
      <w:isLgl/>
      <w:suff w:val="tab"/>
      <w:lvlText w:val="%1.%2.%3.%4"/>
      <w:lvlJc w:val="left"/>
      <w:pPr>
        <w:ind w:left="3567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"/>
      <w:lvlJc w:val="left"/>
      <w:pPr>
        <w:ind w:left="4276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"/>
      <w:lvlJc w:val="left"/>
      <w:pPr>
        <w:ind w:left="5345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"/>
      <w:lvlJc w:val="left"/>
      <w:pPr>
        <w:ind w:left="6054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"/>
      <w:lvlJc w:val="left"/>
      <w:pPr>
        <w:ind w:left="7123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"/>
      <w:lvlJc w:val="left"/>
      <w:pPr>
        <w:ind w:left="8192" w:hanging="2160"/>
      </w:pPr>
      <w:rPr>
        <w:rFonts w:hint="default"/>
      </w:rPr>
    </w:lvl>
  </w:abstractNum>
  <w:abstractNum w:abstractNumId="38">
    <w:multiLevelType w:val="hybridMultilevel"/>
    <w:lvl w:ilvl="0">
      <w:start w:val="5"/>
      <w:numFmt w:val="decimal"/>
      <w:isLgl w:val="false"/>
      <w:suff w:val="tab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39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4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42">
    <w:multiLevelType w:val="hybridMultilevel"/>
    <w:lvl w:ilvl="0">
      <w:start w:val="2"/>
      <w:numFmt w:val="bullet"/>
      <w:isLgl w:val="false"/>
      <w:suff w:val="tab"/>
      <w:lvlText w:val="-"/>
      <w:lvlJc w:val="left"/>
      <w:pPr>
        <w:ind w:left="928" w:hanging="360"/>
      </w:pPr>
      <w:rPr>
        <w:rFonts w:hint="default" w:ascii="Times New Roman" w:hAnsi="Times New Roman" w:eastAsia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64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36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08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80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52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24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96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688" w:hanging="360"/>
      </w:pPr>
      <w:rPr>
        <w:rFonts w:hint="default" w:ascii="Wingdings" w:hAnsi="Wingdings"/>
      </w:r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hint="default" w:ascii="Symbol" w:hAnsi="Symbol"/>
        <w:color w:val="auto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146" w:hanging="720"/>
      </w:pPr>
      <w:rPr>
        <w:rFonts w:hint="default"/>
        <w:b/>
        <w:i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4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6"/>
      <w:numFmt w:val="decimal"/>
      <w:isLgl/>
      <w:suff w:val="tab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8"/>
  </w:num>
  <w:num w:numId="2">
    <w:abstractNumId w:val="25"/>
  </w:num>
  <w:num w:numId="3">
    <w:abstractNumId w:val="1"/>
  </w:num>
  <w:num w:numId="4">
    <w:abstractNumId w:val="34"/>
  </w:num>
  <w:num w:numId="5">
    <w:abstractNumId w:val="4"/>
  </w:num>
  <w:num w:numId="6">
    <w:abstractNumId w:val="46"/>
  </w:num>
  <w:num w:numId="7">
    <w:abstractNumId w:val="12"/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40"/>
  </w:num>
  <w:num w:numId="11">
    <w:abstractNumId w:val="45"/>
  </w:num>
  <w:num w:numId="12">
    <w:abstractNumId w:val="37"/>
  </w:num>
  <w:num w:numId="13">
    <w:abstractNumId w:val="6"/>
  </w:num>
  <w:num w:numId="14">
    <w:abstractNumId w:val="24"/>
  </w:num>
  <w:num w:numId="15">
    <w:abstractNumId w:val="9"/>
  </w:num>
  <w:num w:numId="16">
    <w:abstractNumId w:val="23"/>
  </w:num>
  <w:num w:numId="17">
    <w:abstractNumId w:val="26"/>
  </w:num>
  <w:num w:numId="18">
    <w:abstractNumId w:val="13"/>
  </w:num>
  <w:num w:numId="19">
    <w:abstractNumId w:val="3"/>
  </w:num>
  <w:num w:numId="20">
    <w:abstractNumId w:val="20"/>
  </w:num>
  <w:num w:numId="21">
    <w:abstractNumId w:val="22"/>
  </w:num>
  <w:num w:numId="22">
    <w:abstractNumId w:val="32"/>
  </w:num>
  <w:num w:numId="23">
    <w:abstractNumId w:val="21"/>
  </w:num>
  <w:num w:numId="24">
    <w:abstractNumId w:val="11"/>
  </w:num>
  <w:num w:numId="25">
    <w:abstractNumId w:val="41"/>
  </w:num>
  <w:num w:numId="26">
    <w:abstractNumId w:val="33"/>
  </w:num>
  <w:num w:numId="27">
    <w:abstractNumId w:val="43"/>
  </w:num>
  <w:num w:numId="28">
    <w:abstractNumId w:val="15"/>
  </w:num>
  <w:num w:numId="29">
    <w:abstractNumId w:val="2"/>
  </w:num>
  <w:num w:numId="30">
    <w:abstractNumId w:val="35"/>
  </w:num>
  <w:num w:numId="31">
    <w:abstractNumId w:val="29"/>
  </w:num>
  <w:num w:numId="32">
    <w:abstractNumId w:val="30"/>
  </w:num>
  <w:num w:numId="33">
    <w:abstractNumId w:val="39"/>
  </w:num>
  <w:num w:numId="34">
    <w:abstractNumId w:val="10"/>
  </w:num>
  <w:num w:numId="35">
    <w:abstractNumId w:val="0"/>
  </w:num>
  <w:num w:numId="36">
    <w:abstractNumId w:val="7"/>
  </w:num>
  <w:num w:numId="37">
    <w:abstractNumId w:val="47"/>
  </w:num>
  <w:num w:numId="38">
    <w:abstractNumId w:val="16"/>
  </w:num>
  <w:num w:numId="39">
    <w:abstractNumId w:val="36"/>
  </w:num>
  <w:num w:numId="40">
    <w:abstractNumId w:val="17"/>
  </w:num>
  <w:num w:numId="41">
    <w:abstractNumId w:val="19"/>
  </w:num>
  <w:num w:numId="42">
    <w:abstractNumId w:val="14"/>
  </w:num>
  <w:num w:numId="43">
    <w:abstractNumId w:val="28"/>
  </w:num>
  <w:num w:numId="44">
    <w:abstractNumId w:val="5"/>
  </w:num>
  <w:num w:numId="45">
    <w:abstractNumId w:val="38"/>
  </w:num>
  <w:num w:numId="46">
    <w:abstractNumId w:val="18"/>
  </w:num>
  <w:num w:numId="47">
    <w:abstractNumId w:val="42"/>
  </w:num>
  <w:num w:numId="48">
    <w:abstractNumId w:val="31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5">
    <w:name w:val="Heading 1 Char"/>
    <w:basedOn w:val="771"/>
    <w:link w:val="770"/>
    <w:uiPriority w:val="9"/>
    <w:rPr>
      <w:rFonts w:ascii="Liberation Sans" w:hAnsi="Liberation Sans" w:eastAsia="Liberation Sans" w:cs="Liberation Sans"/>
      <w:sz w:val="40"/>
      <w:szCs w:val="40"/>
    </w:rPr>
  </w:style>
  <w:style w:type="paragraph" w:styleId="16">
    <w:name w:val="Heading 2"/>
    <w:basedOn w:val="769"/>
    <w:next w:val="769"/>
    <w:link w:val="17"/>
    <w:uiPriority w:val="9"/>
    <w:unhideWhenUsed/>
    <w:qFormat/>
    <w:pPr>
      <w:keepLines/>
      <w:keepNext/>
      <w:spacing w:before="360" w:after="200"/>
      <w:outlineLvl w:val="1"/>
    </w:pPr>
    <w:rPr>
      <w:rFonts w:ascii="Liberation Sans" w:hAnsi="Liberation Sans" w:eastAsia="Liberation Sans" w:cs="Liberation Sans"/>
      <w:sz w:val="34"/>
    </w:rPr>
  </w:style>
  <w:style w:type="character" w:styleId="17">
    <w:name w:val="Heading 2 Char"/>
    <w:basedOn w:val="771"/>
    <w:link w:val="16"/>
    <w:uiPriority w:val="9"/>
    <w:rPr>
      <w:rFonts w:ascii="Liberation Sans" w:hAnsi="Liberation Sans" w:eastAsia="Liberation Sans" w:cs="Liberation Sans"/>
      <w:sz w:val="34"/>
    </w:rPr>
  </w:style>
  <w:style w:type="paragraph" w:styleId="18">
    <w:name w:val="Heading 3"/>
    <w:basedOn w:val="769"/>
    <w:next w:val="769"/>
    <w:link w:val="1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Liberation Sans" w:cs="Liberation Sans"/>
      <w:sz w:val="30"/>
      <w:szCs w:val="30"/>
    </w:rPr>
  </w:style>
  <w:style w:type="character" w:styleId="19">
    <w:name w:val="Heading 3 Char"/>
    <w:basedOn w:val="771"/>
    <w:link w:val="18"/>
    <w:uiPriority w:val="9"/>
    <w:rPr>
      <w:rFonts w:ascii="Liberation Sans" w:hAnsi="Liberation Sans" w:eastAsia="Liberation Sans" w:cs="Liberation Sans"/>
      <w:sz w:val="30"/>
      <w:szCs w:val="30"/>
    </w:rPr>
  </w:style>
  <w:style w:type="paragraph" w:styleId="20">
    <w:name w:val="Heading 4"/>
    <w:basedOn w:val="769"/>
    <w:next w:val="769"/>
    <w:link w:val="2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21">
    <w:name w:val="Heading 4 Char"/>
    <w:basedOn w:val="771"/>
    <w:link w:val="20"/>
    <w:uiPriority w:val="9"/>
    <w:rPr>
      <w:rFonts w:ascii="Liberation Sans" w:hAnsi="Liberation Sans" w:eastAsia="Liberation Sans" w:cs="Liberation Sans"/>
      <w:b/>
      <w:bCs/>
      <w:sz w:val="26"/>
      <w:szCs w:val="26"/>
    </w:rPr>
  </w:style>
  <w:style w:type="paragraph" w:styleId="22">
    <w:name w:val="Heading 5"/>
    <w:basedOn w:val="769"/>
    <w:next w:val="769"/>
    <w:link w:val="2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23">
    <w:name w:val="Heading 5 Char"/>
    <w:basedOn w:val="771"/>
    <w:link w:val="22"/>
    <w:uiPriority w:val="9"/>
    <w:rPr>
      <w:rFonts w:ascii="Liberation Sans" w:hAnsi="Liberation Sans" w:eastAsia="Liberation Sans" w:cs="Liberation Sans"/>
      <w:b/>
      <w:bCs/>
      <w:sz w:val="24"/>
      <w:szCs w:val="24"/>
    </w:rPr>
  </w:style>
  <w:style w:type="paragraph" w:styleId="24">
    <w:name w:val="Heading 6"/>
    <w:basedOn w:val="769"/>
    <w:next w:val="769"/>
    <w:link w:val="2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25">
    <w:name w:val="Heading 6 Char"/>
    <w:basedOn w:val="771"/>
    <w:link w:val="24"/>
    <w:uiPriority w:val="9"/>
    <w:rPr>
      <w:rFonts w:ascii="Liberation Sans" w:hAnsi="Liberation Sans" w:eastAsia="Liberation Sans" w:cs="Liberation Sans"/>
      <w:b/>
      <w:bCs/>
      <w:sz w:val="22"/>
      <w:szCs w:val="22"/>
    </w:rPr>
  </w:style>
  <w:style w:type="paragraph" w:styleId="26">
    <w:name w:val="Heading 7"/>
    <w:basedOn w:val="769"/>
    <w:next w:val="769"/>
    <w:link w:val="2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27">
    <w:name w:val="Heading 7 Char"/>
    <w:basedOn w:val="771"/>
    <w:link w:val="26"/>
    <w:uiPriority w:val="9"/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paragraph" w:styleId="28">
    <w:name w:val="Heading 8"/>
    <w:basedOn w:val="769"/>
    <w:next w:val="769"/>
    <w:link w:val="2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29">
    <w:name w:val="Heading 8 Char"/>
    <w:basedOn w:val="771"/>
    <w:link w:val="28"/>
    <w:uiPriority w:val="9"/>
    <w:rPr>
      <w:rFonts w:ascii="Liberation Sans" w:hAnsi="Liberation Sans" w:eastAsia="Liberation Sans" w:cs="Liberation Sans"/>
      <w:i/>
      <w:iCs/>
      <w:sz w:val="22"/>
      <w:szCs w:val="22"/>
    </w:rPr>
  </w:style>
  <w:style w:type="paragraph" w:styleId="30">
    <w:name w:val="Heading 9"/>
    <w:basedOn w:val="769"/>
    <w:next w:val="769"/>
    <w:link w:val="3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31">
    <w:name w:val="Heading 9 Char"/>
    <w:basedOn w:val="771"/>
    <w:link w:val="30"/>
    <w:uiPriority w:val="9"/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36">
    <w:name w:val="Title Char"/>
    <w:basedOn w:val="771"/>
    <w:link w:val="817"/>
    <w:uiPriority w:val="10"/>
    <w:rPr>
      <w:sz w:val="48"/>
      <w:szCs w:val="48"/>
    </w:rPr>
  </w:style>
  <w:style w:type="paragraph" w:styleId="37">
    <w:name w:val="Subtitle"/>
    <w:basedOn w:val="769"/>
    <w:next w:val="769"/>
    <w:link w:val="38"/>
    <w:uiPriority w:val="11"/>
    <w:qFormat/>
    <w:pPr>
      <w:spacing w:before="200" w:after="200"/>
    </w:pPr>
    <w:rPr>
      <w:sz w:val="24"/>
      <w:szCs w:val="24"/>
    </w:rPr>
  </w:style>
  <w:style w:type="character" w:styleId="38">
    <w:name w:val="Subtitle Char"/>
    <w:basedOn w:val="771"/>
    <w:link w:val="37"/>
    <w:uiPriority w:val="11"/>
    <w:rPr>
      <w:sz w:val="24"/>
      <w:szCs w:val="24"/>
    </w:rPr>
  </w:style>
  <w:style w:type="paragraph" w:styleId="39">
    <w:name w:val="Quote"/>
    <w:basedOn w:val="769"/>
    <w:next w:val="769"/>
    <w:link w:val="40"/>
    <w:uiPriority w:val="29"/>
    <w:qFormat/>
    <w:pPr>
      <w:ind w:left="720" w:right="720"/>
    </w:pPr>
    <w:rPr>
      <w:i/>
    </w:rPr>
  </w:style>
  <w:style w:type="character" w:styleId="40">
    <w:name w:val="Quote Char"/>
    <w:link w:val="39"/>
    <w:uiPriority w:val="29"/>
    <w:rPr>
      <w:i/>
    </w:rPr>
  </w:style>
  <w:style w:type="paragraph" w:styleId="41">
    <w:name w:val="Intense Quote"/>
    <w:basedOn w:val="769"/>
    <w:next w:val="769"/>
    <w:link w:val="4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2">
    <w:name w:val="Intense Quote Char"/>
    <w:link w:val="41"/>
    <w:uiPriority w:val="30"/>
    <w:rPr>
      <w:i/>
    </w:rPr>
  </w:style>
  <w:style w:type="character" w:styleId="44">
    <w:name w:val="Header Char"/>
    <w:basedOn w:val="771"/>
    <w:link w:val="799"/>
    <w:uiPriority w:val="99"/>
  </w:style>
  <w:style w:type="character" w:styleId="46">
    <w:name w:val="Footer Char"/>
    <w:basedOn w:val="771"/>
    <w:link w:val="788"/>
    <w:uiPriority w:val="99"/>
  </w:style>
  <w:style w:type="paragraph" w:styleId="47">
    <w:name w:val="Caption"/>
    <w:basedOn w:val="769"/>
    <w:next w:val="769"/>
    <w:link w:val="4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8">
    <w:name w:val="Caption Char"/>
    <w:basedOn w:val="771"/>
    <w:link w:val="47"/>
    <w:uiPriority w:val="35"/>
    <w:rPr>
      <w:b/>
      <w:bCs/>
      <w:color w:val="4f81bd" w:themeColor="accent1"/>
      <w:sz w:val="18"/>
      <w:szCs w:val="18"/>
    </w:rPr>
  </w:style>
  <w:style w:type="table" w:styleId="50">
    <w:name w:val="Table Grid Light"/>
    <w:basedOn w:val="7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1">
    <w:name w:val="Plain Table 1"/>
    <w:basedOn w:val="7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2">
    <w:name w:val="Plain Table 2"/>
    <w:basedOn w:val="77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3">
    <w:name w:val="Plain Table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4">
    <w:name w:val="Plain Table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Plain Table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6">
    <w:name w:val="Grid Table 1 Light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1 Light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3">
    <w:name w:val="Grid Table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2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3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">
    <w:name w:val="Grid Table 4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8">
    <w:name w:val="Grid Table 4 - Accent 1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9">
    <w:name w:val="Grid Table 4 - Accent 2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0">
    <w:name w:val="Grid Table 4 - Accent 3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1">
    <w:name w:val="Grid Table 4 - Accent 4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2">
    <w:name w:val="Grid Table 4 - Accent 5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3">
    <w:name w:val="Grid Table 4 - Accent 6"/>
    <w:basedOn w:val="7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4">
    <w:name w:val="Grid Table 5 Dark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5">
    <w:name w:val="Grid Table 5 Dark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8">
    <w:name w:val="Grid Table 5 Dark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90">
    <w:name w:val="Grid Table 5 Dark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1">
    <w:name w:val="Grid Table 6 Colorful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Liberation Sans" w:hAnsi="Liberation Sans"/>
        <w:color w:val="404040" w:themeColor="text1" w:themeTint="80" w:themeShade="95"/>
        <w:sz w:val="22"/>
      </w:rPr>
    </w:tblStylePr>
  </w:style>
  <w:style w:type="table" w:styleId="92">
    <w:name w:val="Grid Table 6 Colorful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Liberation Sans" w:hAnsi="Liberation Sans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Liberation Sans" w:hAnsi="Liberation Sans"/>
        <w:color w:val="404040" w:themeColor="accent1" w:themeTint="80" w:themeShade="95"/>
        <w:sz w:val="22"/>
      </w:rPr>
    </w:tblStylePr>
  </w:style>
  <w:style w:type="table" w:styleId="93">
    <w:name w:val="Grid Table 6 Colorful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Liberation Sans" w:hAnsi="Liberation Sans"/>
        <w:color w:val="404040" w:themeColor="accent2" w:themeTint="97" w:themeShade="95"/>
        <w:sz w:val="22"/>
      </w:rPr>
    </w:tblStylePr>
  </w:style>
  <w:style w:type="table" w:styleId="94">
    <w:name w:val="Grid Table 6 Colorful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Liberation Sans" w:hAnsi="Liberation Sans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Liberation Sans" w:hAnsi="Liberation Sans"/>
        <w:color w:val="404040" w:themeColor="accent3" w:themeTint="FE" w:themeShade="95"/>
        <w:sz w:val="22"/>
      </w:rPr>
    </w:tblStylePr>
  </w:style>
  <w:style w:type="table" w:styleId="95">
    <w:name w:val="Grid Table 6 Colorful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Liberation Sans" w:hAnsi="Liberation Sans"/>
        <w:color w:val="404040" w:themeColor="accent4" w:themeTint="9A" w:themeShade="95"/>
        <w:sz w:val="22"/>
      </w:rPr>
    </w:tblStylePr>
  </w:style>
  <w:style w:type="table" w:styleId="96">
    <w:name w:val="Grid Table 6 Colorful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7">
    <w:name w:val="Grid Table 6 Colorful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8">
    <w:name w:val="Grid Table 7 Colorful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Liberation Sans" w:hAnsi="Liberation Sans"/>
        <w:color w:val="317bba" w:themeColor="accent1" w:themeTint="80" w:themeShade="95"/>
        <w:sz w:val="22"/>
      </w:rPr>
    </w:tblStylePr>
    <w:tblStylePr w:type="firstCol">
      <w:rPr>
        <w:rFonts w:ascii="Liberation Sans" w:hAnsi="Liberation Sans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Liberation Sans" w:hAnsi="Liberation Sans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c95712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Liberation Sans" w:hAnsi="Liberation Sans"/>
        <w:color w:val="606060" w:themeColor="accent3" w:themeTint="FE" w:themeShade="95"/>
        <w:sz w:val="22"/>
      </w:rPr>
    </w:tblStylePr>
    <w:tblStylePr w:type="firstCol">
      <w:rPr>
        <w:rFonts w:ascii="Liberation Sans" w:hAnsi="Liberation Sans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Liberation Sans" w:hAnsi="Liberation Sans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Liberation Sans" w:hAnsi="Liberation Sans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Liberation Sans" w:hAnsi="Liberation Sans"/>
        <w:color w:val="cd9600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Liberation Sans" w:hAnsi="Liberation Sans"/>
        <w:color w:val="254374" w:themeColor="accent5" w:themeShade="95"/>
        <w:sz w:val="22"/>
      </w:rPr>
    </w:tblStylePr>
    <w:tblStylePr w:type="firstCol">
      <w:rPr>
        <w:rFonts w:ascii="Liberation Sans" w:hAnsi="Liberation Sans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Liberation Sans" w:hAnsi="Liberation Sans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4">
    <w:name w:val="Grid Table 7 Colorful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Liberation Sans" w:hAnsi="Liberation Sans"/>
        <w:color w:val="426429" w:themeColor="accent6" w:themeShade="95"/>
        <w:sz w:val="22"/>
      </w:rPr>
    </w:tblStylePr>
    <w:tblStylePr w:type="firstCol">
      <w:rPr>
        <w:rFonts w:ascii="Liberation Sans" w:hAnsi="Liberation Sans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Liberation Sans" w:hAnsi="Liberation Sans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5">
    <w:name w:val="List Table 1 Light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1 Light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2">
    <w:name w:val="List Table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3">
    <w:name w:val="List Table 2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4">
    <w:name w:val="List Table 2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5">
    <w:name w:val="List Table 2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6">
    <w:name w:val="List Table 2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7">
    <w:name w:val="List Table 2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8">
    <w:name w:val="List Table 2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9">
    <w:name w:val="List Table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3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4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3">
    <w:name w:val="List Table 5 Dark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4">
    <w:name w:val="List Table 5 Dark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5">
    <w:name w:val="List Table 5 Dark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6">
    <w:name w:val="List Table 5 Dark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7">
    <w:name w:val="List Table 5 Dark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8">
    <w:name w:val="List Table 5 Dark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9">
    <w:name w:val="List Table 5 Dark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40">
    <w:name w:val="List Table 6 Colorful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1">
    <w:name w:val="List Table 6 Colorful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Liberation Sans" w:hAnsi="Liberation Sans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Liberation Sans" w:hAnsi="Liberation Sans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2">
    <w:name w:val="List Table 6 Colorful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3">
    <w:name w:val="List Table 6 Colorful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4">
    <w:name w:val="List Table 6 Colorful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5">
    <w:name w:val="List Table 6 Colorful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Liberation Sans" w:hAnsi="Liberation Sans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6">
    <w:name w:val="List Table 6 Colorful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Liberation Sans" w:hAnsi="Liberation Sans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7">
    <w:name w:val="List Table 7 Colorful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4a4a4a" w:themeColor="text1" w:themeTint="80" w:themeShade="95"/>
        <w:sz w:val="22"/>
      </w:rPr>
    </w:tblStylePr>
  </w:style>
  <w:style w:type="table" w:styleId="148">
    <w:name w:val="List Table 7 Colorful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Liberation Sans" w:hAnsi="Liberation Sans"/>
        <w:color w:val="245d8d" w:themeColor="accent1" w:themeShade="95"/>
        <w:sz w:val="22"/>
      </w:rPr>
    </w:tblStylePr>
    <w:tblStylePr w:type="firstCol">
      <w:rPr>
        <w:rFonts w:ascii="Liberation Sans" w:hAnsi="Liberation Sans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Liberation Sans" w:hAnsi="Liberation Sans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245d8d" w:themeColor="accent1" w:themeShade="95"/>
        <w:sz w:val="22"/>
      </w:rPr>
    </w:tblStylePr>
  </w:style>
  <w:style w:type="table" w:styleId="149">
    <w:name w:val="List Table 7 Colorful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c95712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c95712" w:themeColor="accent2" w:themeTint="97" w:themeShade="95"/>
        <w:sz w:val="22"/>
      </w:rPr>
    </w:tblStylePr>
  </w:style>
  <w:style w:type="table" w:styleId="150">
    <w:name w:val="List Table 7 Colorful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757575" w:themeColor="accent3" w:themeTint="98" w:themeShade="95"/>
        <w:sz w:val="22"/>
      </w:rPr>
    </w:tblStylePr>
    <w:tblStylePr w:type="firstCol">
      <w:rPr>
        <w:rFonts w:ascii="Liberation Sans" w:hAnsi="Liberation Sans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Liberation Sans" w:hAnsi="Liberation Sans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757575" w:themeColor="accent3" w:themeTint="98" w:themeShade="95"/>
        <w:sz w:val="22"/>
      </w:rPr>
    </w:tblStylePr>
  </w:style>
  <w:style w:type="table" w:styleId="151">
    <w:name w:val="List Table 7 Colorful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cd9600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cd9600" w:themeColor="accent4" w:themeTint="9A" w:themeShade="95"/>
        <w:sz w:val="22"/>
      </w:rPr>
    </w:tblStylePr>
  </w:style>
  <w:style w:type="table" w:styleId="152">
    <w:name w:val="List Table 7 Colorful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Liberation Sans" w:hAnsi="Liberation Sans"/>
        <w:color w:val="335e9e" w:themeColor="accent5" w:themeTint="9A" w:themeShade="95"/>
        <w:sz w:val="22"/>
      </w:rPr>
    </w:tblStylePr>
    <w:tblStylePr w:type="firstCol">
      <w:rPr>
        <w:rFonts w:ascii="Liberation Sans" w:hAnsi="Liberation Sans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Liberation Sans" w:hAnsi="Liberation Sans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335e9e" w:themeColor="accent5" w:themeTint="9A" w:themeShade="95"/>
        <w:sz w:val="22"/>
      </w:rPr>
    </w:tblStylePr>
  </w:style>
  <w:style w:type="table" w:styleId="153">
    <w:name w:val="List Table 7 Colorful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Liberation Sans" w:hAnsi="Liberation Sans"/>
        <w:color w:val="5f8f3c" w:themeColor="accent6" w:themeTint="98" w:themeShade="95"/>
        <w:sz w:val="22"/>
      </w:rPr>
    </w:tblStylePr>
    <w:tblStylePr w:type="firstCol">
      <w:rPr>
        <w:rFonts w:ascii="Liberation Sans" w:hAnsi="Liberation Sans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Liberation Sans" w:hAnsi="Liberation Sans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5f8f3c" w:themeColor="accent6" w:themeTint="98" w:themeShade="95"/>
        <w:sz w:val="22"/>
      </w:rPr>
    </w:tblStylePr>
  </w:style>
  <w:style w:type="table" w:styleId="154">
    <w:name w:val="Lined - Accent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5">
    <w:name w:val="Lined - Accent 1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6">
    <w:name w:val="Lined - Accent 2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7">
    <w:name w:val="Lined - Accent 3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8">
    <w:name w:val="Lined - Accent 4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9">
    <w:name w:val="Lined - Accent 5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0">
    <w:name w:val="Lined - Accent 6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1">
    <w:name w:val="Bordered &amp; Lined - Accent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2">
    <w:name w:val="Bordered &amp; Lined - Accent 1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3">
    <w:name w:val="Bordered &amp; Lined - Accent 2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4">
    <w:name w:val="Bordered &amp; Lined - Accent 3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5">
    <w:name w:val="Bordered &amp; Lined - Accent 4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6">
    <w:name w:val="Bordered &amp; Lined - Accent 5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7">
    <w:name w:val="Bordered &amp; Lined - Accent 6"/>
    <w:basedOn w:val="7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8">
    <w:name w:val="Bordered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9">
    <w:name w:val="Bordered - Accent 1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70">
    <w:name w:val="Bordered - Accent 2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1">
    <w:name w:val="Bordered - Accent 3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2">
    <w:name w:val="Bordered - Accent 4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3">
    <w:name w:val="Bordered - Accent 5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4">
    <w:name w:val="Bordered - Accent 6"/>
    <w:basedOn w:val="7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7">
    <w:name w:val="Footnote Text Char"/>
    <w:link w:val="794"/>
    <w:uiPriority w:val="99"/>
    <w:rPr>
      <w:sz w:val="18"/>
    </w:rPr>
  </w:style>
  <w:style w:type="character" w:styleId="180">
    <w:name w:val="Endnote Text Char"/>
    <w:link w:val="798"/>
    <w:uiPriority w:val="99"/>
    <w:rPr>
      <w:sz w:val="20"/>
    </w:rPr>
  </w:style>
  <w:style w:type="character" w:styleId="181">
    <w:name w:val="endnote reference"/>
    <w:basedOn w:val="771"/>
    <w:uiPriority w:val="99"/>
    <w:semiHidden/>
    <w:unhideWhenUsed/>
    <w:rPr>
      <w:vertAlign w:val="superscript"/>
    </w:rPr>
  </w:style>
  <w:style w:type="paragraph" w:styleId="182">
    <w:name w:val="toc 1"/>
    <w:basedOn w:val="769"/>
    <w:next w:val="769"/>
    <w:uiPriority w:val="39"/>
    <w:unhideWhenUsed/>
    <w:pPr>
      <w:ind w:left="0" w:right="0" w:firstLine="0"/>
      <w:spacing w:after="57"/>
    </w:pPr>
  </w:style>
  <w:style w:type="paragraph" w:styleId="183">
    <w:name w:val="toc 2"/>
    <w:basedOn w:val="769"/>
    <w:next w:val="769"/>
    <w:uiPriority w:val="39"/>
    <w:unhideWhenUsed/>
    <w:pPr>
      <w:ind w:left="283" w:right="0" w:firstLine="0"/>
      <w:spacing w:after="57"/>
    </w:pPr>
  </w:style>
  <w:style w:type="paragraph" w:styleId="184">
    <w:name w:val="toc 3"/>
    <w:basedOn w:val="769"/>
    <w:next w:val="769"/>
    <w:uiPriority w:val="39"/>
    <w:unhideWhenUsed/>
    <w:pPr>
      <w:ind w:left="567" w:right="0" w:firstLine="0"/>
      <w:spacing w:after="57"/>
    </w:pPr>
  </w:style>
  <w:style w:type="paragraph" w:styleId="185">
    <w:name w:val="toc 4"/>
    <w:basedOn w:val="769"/>
    <w:next w:val="769"/>
    <w:uiPriority w:val="39"/>
    <w:unhideWhenUsed/>
    <w:pPr>
      <w:ind w:left="850" w:right="0" w:firstLine="0"/>
      <w:spacing w:after="57"/>
    </w:pPr>
  </w:style>
  <w:style w:type="paragraph" w:styleId="186">
    <w:name w:val="toc 5"/>
    <w:basedOn w:val="769"/>
    <w:next w:val="769"/>
    <w:uiPriority w:val="39"/>
    <w:unhideWhenUsed/>
    <w:pPr>
      <w:ind w:left="1134" w:right="0" w:firstLine="0"/>
      <w:spacing w:after="57"/>
    </w:pPr>
  </w:style>
  <w:style w:type="paragraph" w:styleId="187">
    <w:name w:val="toc 6"/>
    <w:basedOn w:val="769"/>
    <w:next w:val="769"/>
    <w:uiPriority w:val="39"/>
    <w:unhideWhenUsed/>
    <w:pPr>
      <w:ind w:left="1417" w:right="0" w:firstLine="0"/>
      <w:spacing w:after="57"/>
    </w:pPr>
  </w:style>
  <w:style w:type="paragraph" w:styleId="188">
    <w:name w:val="toc 7"/>
    <w:basedOn w:val="769"/>
    <w:next w:val="769"/>
    <w:uiPriority w:val="39"/>
    <w:unhideWhenUsed/>
    <w:pPr>
      <w:ind w:left="1701" w:right="0" w:firstLine="0"/>
      <w:spacing w:after="57"/>
    </w:pPr>
  </w:style>
  <w:style w:type="paragraph" w:styleId="189">
    <w:name w:val="toc 8"/>
    <w:basedOn w:val="769"/>
    <w:next w:val="769"/>
    <w:uiPriority w:val="39"/>
    <w:unhideWhenUsed/>
    <w:pPr>
      <w:ind w:left="1984" w:right="0" w:firstLine="0"/>
      <w:spacing w:after="57"/>
    </w:pPr>
  </w:style>
  <w:style w:type="paragraph" w:styleId="190">
    <w:name w:val="toc 9"/>
    <w:basedOn w:val="769"/>
    <w:next w:val="769"/>
    <w:uiPriority w:val="39"/>
    <w:unhideWhenUsed/>
    <w:pPr>
      <w:ind w:left="2268" w:right="0" w:firstLine="0"/>
      <w:spacing w:after="57"/>
    </w:pPr>
  </w:style>
  <w:style w:type="paragraph" w:styleId="191">
    <w:name w:val="TOC Heading"/>
    <w:uiPriority w:val="39"/>
    <w:unhideWhenUsed/>
  </w:style>
  <w:style w:type="paragraph" w:styleId="192">
    <w:name w:val="table of figures"/>
    <w:basedOn w:val="769"/>
    <w:next w:val="769"/>
    <w:uiPriority w:val="99"/>
    <w:unhideWhenUsed/>
    <w:pPr>
      <w:spacing w:after="0" w:afterAutospacing="0"/>
    </w:pPr>
  </w:style>
  <w:style w:type="paragraph" w:styleId="769" w:default="1">
    <w:name w:val="Normal"/>
    <w:qFormat/>
    <w:rPr>
      <w:rFonts w:ascii="Times New Roman" w:hAnsi="Times New Roman" w:eastAsia="Times New Roman"/>
    </w:rPr>
  </w:style>
  <w:style w:type="paragraph" w:styleId="770">
    <w:name w:val="Heading 1"/>
    <w:basedOn w:val="769"/>
    <w:next w:val="769"/>
    <w:qFormat/>
    <w:pPr>
      <w:keepNext/>
      <w:outlineLvl w:val="0"/>
    </w:pPr>
    <w:rPr>
      <w:sz w:val="28"/>
      <w:szCs w:val="24"/>
    </w:rPr>
  </w:style>
  <w:style w:type="character" w:styleId="771" w:default="1">
    <w:name w:val="Default Paragraph Font"/>
    <w:uiPriority w:val="1"/>
    <w:semiHidden/>
    <w:unhideWhenUsed/>
  </w:style>
  <w:style w:type="table" w:styleId="77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73" w:default="1">
    <w:name w:val="No List"/>
    <w:uiPriority w:val="99"/>
    <w:semiHidden/>
    <w:unhideWhenUsed/>
  </w:style>
  <w:style w:type="paragraph" w:styleId="774">
    <w:name w:val="Balloon Text"/>
    <w:basedOn w:val="769"/>
    <w:link w:val="775"/>
    <w:uiPriority w:val="99"/>
    <w:semiHidden/>
    <w:unhideWhenUsed/>
    <w:rPr>
      <w:rFonts w:ascii="Tahoma" w:hAnsi="Tahoma" w:cs="Tahoma"/>
      <w:sz w:val="16"/>
      <w:szCs w:val="16"/>
    </w:rPr>
  </w:style>
  <w:style w:type="character" w:styleId="775" w:customStyle="1">
    <w:name w:val="Текст выноски Знак"/>
    <w:link w:val="774"/>
    <w:uiPriority w:val="99"/>
    <w:semiHidden/>
    <w:rPr>
      <w:rFonts w:ascii="Tahoma" w:hAnsi="Tahoma" w:cs="Tahoma"/>
      <w:sz w:val="16"/>
      <w:szCs w:val="16"/>
    </w:rPr>
  </w:style>
  <w:style w:type="paragraph" w:styleId="776">
    <w:name w:val="E-mail Signature"/>
    <w:basedOn w:val="769"/>
    <w:link w:val="777"/>
    <w:uiPriority w:val="99"/>
    <w:semiHidden/>
    <w:unhideWhenUsed/>
    <w:rPr>
      <w:rFonts w:ascii="Calibri" w:hAnsi="Calibri"/>
      <w:sz w:val="22"/>
      <w:szCs w:val="22"/>
    </w:rPr>
  </w:style>
  <w:style w:type="character" w:styleId="777" w:customStyle="1">
    <w:name w:val="Электронная подпись Знак"/>
    <w:link w:val="776"/>
    <w:uiPriority w:val="99"/>
    <w:semiHidden/>
    <w:rPr>
      <w:rFonts w:ascii="Calibri" w:hAnsi="Calibri" w:eastAsia="Times New Roman" w:cs="Times New Roman"/>
      <w:lang w:eastAsia="ru-RU"/>
    </w:rPr>
  </w:style>
  <w:style w:type="table" w:styleId="778">
    <w:name w:val="Table Grid"/>
    <w:basedOn w:val="772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79" w:customStyle="1">
    <w:name w:val="Знак"/>
    <w:basedOn w:val="769"/>
    <w:pPr>
      <w:spacing w:after="160" w:line="240" w:lineRule="exact"/>
    </w:pPr>
    <w:rPr>
      <w:rFonts w:ascii="Verdana" w:hAnsi="Verdana"/>
      <w:lang w:val="en-US" w:eastAsia="en-US"/>
    </w:rPr>
  </w:style>
  <w:style w:type="character" w:styleId="780">
    <w:name w:val="Hyperlink"/>
    <w:uiPriority w:val="99"/>
    <w:rPr>
      <w:color w:val="0000ff"/>
      <w:u w:val="single"/>
    </w:rPr>
  </w:style>
  <w:style w:type="paragraph" w:styleId="781">
    <w:name w:val="List Paragraph"/>
    <w:basedOn w:val="769"/>
    <w:link w:val="814"/>
    <w:uiPriority w:val="34"/>
    <w:qFormat/>
    <w:pPr>
      <w:contextualSpacing/>
      <w:ind w:left="720"/>
      <w:spacing w:after="200" w:line="276" w:lineRule="auto"/>
    </w:pPr>
    <w:rPr>
      <w:rFonts w:ascii="Calibri" w:hAnsi="Calibri" w:eastAsia="Calibri"/>
      <w:sz w:val="22"/>
      <w:szCs w:val="22"/>
      <w:lang w:eastAsia="en-US"/>
    </w:rPr>
  </w:style>
  <w:style w:type="paragraph" w:styleId="782" w:customStyle="1">
    <w:name w:val="ConsPlusTitle"/>
    <w:rPr>
      <w:rFonts w:ascii="Times New Roman" w:hAnsi="Times New Roman" w:eastAsia="Times New Roman"/>
      <w:b/>
      <w:bCs/>
      <w:sz w:val="28"/>
      <w:szCs w:val="28"/>
    </w:rPr>
  </w:style>
  <w:style w:type="paragraph" w:styleId="783" w:customStyle="1">
    <w:name w:val="ConsPlusNormal"/>
    <w:pPr>
      <w:ind w:firstLine="720"/>
      <w:widowControl w:val="off"/>
    </w:pPr>
    <w:rPr>
      <w:rFonts w:ascii="Arial" w:hAnsi="Arial" w:eastAsia="Times New Roman" w:cs="Arial"/>
    </w:rPr>
  </w:style>
  <w:style w:type="paragraph" w:styleId="784" w:customStyle="1">
    <w:name w:val="Знак"/>
    <w:basedOn w:val="769"/>
    <w:pPr>
      <w:spacing w:after="160" w:line="240" w:lineRule="exact"/>
    </w:pPr>
    <w:rPr>
      <w:rFonts w:ascii="Verdana" w:hAnsi="Verdana"/>
      <w:lang w:val="en-US" w:eastAsia="en-US"/>
    </w:rPr>
  </w:style>
  <w:style w:type="paragraph" w:styleId="785" w:customStyle="1">
    <w:name w:val="Знак Знак Знак Знак"/>
    <w:basedOn w:val="769"/>
    <w:pPr>
      <w:spacing w:after="160" w:line="240" w:lineRule="exact"/>
    </w:pPr>
    <w:rPr>
      <w:rFonts w:ascii="Verdana" w:hAnsi="Verdana"/>
      <w:lang w:val="en-US" w:eastAsia="en-US"/>
    </w:rPr>
  </w:style>
  <w:style w:type="paragraph" w:styleId="786">
    <w:name w:val="Body Text"/>
    <w:basedOn w:val="769"/>
    <w:link w:val="787"/>
    <w:pPr>
      <w:jc w:val="both"/>
      <w:spacing w:line="360" w:lineRule="auto"/>
    </w:pPr>
    <w:rPr>
      <w:sz w:val="28"/>
    </w:rPr>
  </w:style>
  <w:style w:type="character" w:styleId="787" w:customStyle="1">
    <w:name w:val="Основной текст Знак"/>
    <w:link w:val="786"/>
    <w:rPr>
      <w:rFonts w:ascii="Times New Roman" w:hAnsi="Times New Roman" w:eastAsia="Times New Roman"/>
      <w:sz w:val="28"/>
    </w:rPr>
  </w:style>
  <w:style w:type="paragraph" w:styleId="788">
    <w:name w:val="Footer"/>
    <w:basedOn w:val="769"/>
    <w:link w:val="789"/>
    <w:uiPriority w:val="99"/>
    <w:pPr>
      <w:tabs>
        <w:tab w:val="center" w:pos="4677" w:leader="none"/>
        <w:tab w:val="right" w:pos="9355" w:leader="none"/>
      </w:tabs>
    </w:pPr>
  </w:style>
  <w:style w:type="character" w:styleId="789" w:customStyle="1">
    <w:name w:val="Нижний колонтитул Знак"/>
    <w:link w:val="788"/>
    <w:uiPriority w:val="99"/>
    <w:rPr>
      <w:rFonts w:ascii="Times New Roman" w:hAnsi="Times New Roman" w:eastAsia="Times New Roman"/>
    </w:rPr>
  </w:style>
  <w:style w:type="character" w:styleId="790">
    <w:name w:val="page number"/>
    <w:basedOn w:val="771"/>
  </w:style>
  <w:style w:type="paragraph" w:styleId="791">
    <w:name w:val="Plain Text"/>
    <w:basedOn w:val="769"/>
    <w:link w:val="792"/>
    <w:semiHidden/>
    <w:pPr>
      <w:ind w:firstLine="397"/>
      <w:jc w:val="both"/>
    </w:pPr>
    <w:rPr>
      <w:rFonts w:eastAsia="Calibri"/>
      <w:sz w:val="24"/>
    </w:rPr>
  </w:style>
  <w:style w:type="character" w:styleId="792" w:customStyle="1">
    <w:name w:val="Текст Знак"/>
    <w:link w:val="791"/>
    <w:semiHidden/>
    <w:rPr>
      <w:rFonts w:eastAsia="Calibri"/>
      <w:sz w:val="24"/>
      <w:lang w:val="ru-RU" w:eastAsia="ru-RU" w:bidi="ar-SA"/>
    </w:rPr>
  </w:style>
  <w:style w:type="paragraph" w:styleId="793" w:customStyle="1">
    <w:name w:val="Знак Знак Знак Знак Знак Знак Знак Знак Знак Знак Знак Знак Знак Знак Знак Знак Знак Знак Знак Знак Знак Знак"/>
    <w:basedOn w:val="769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794">
    <w:name w:val="footnote text"/>
    <w:basedOn w:val="769"/>
    <w:link w:val="795"/>
    <w:uiPriority w:val="99"/>
    <w:semiHidden/>
    <w:unhideWhenUsed/>
  </w:style>
  <w:style w:type="character" w:styleId="795" w:customStyle="1">
    <w:name w:val="Текст сноски Знак"/>
    <w:link w:val="794"/>
    <w:uiPriority w:val="99"/>
    <w:semiHidden/>
    <w:rPr>
      <w:rFonts w:ascii="Times New Roman" w:hAnsi="Times New Roman" w:eastAsia="Times New Roman"/>
    </w:rPr>
  </w:style>
  <w:style w:type="character" w:styleId="796">
    <w:name w:val="footnote reference"/>
    <w:uiPriority w:val="99"/>
    <w:semiHidden/>
    <w:unhideWhenUsed/>
    <w:rPr>
      <w:vertAlign w:val="superscript"/>
    </w:rPr>
  </w:style>
  <w:style w:type="character" w:styleId="797" w:customStyle="1">
    <w:name w:val="Текст концевой сноски Знак"/>
    <w:link w:val="798"/>
    <w:uiPriority w:val="99"/>
    <w:semiHidden/>
    <w:rPr>
      <w:rFonts w:ascii="Times New Roman" w:hAnsi="Times New Roman" w:eastAsia="Times New Roman"/>
    </w:rPr>
  </w:style>
  <w:style w:type="paragraph" w:styleId="798">
    <w:name w:val="endnote text"/>
    <w:basedOn w:val="769"/>
    <w:link w:val="797"/>
    <w:uiPriority w:val="99"/>
    <w:semiHidden/>
    <w:unhideWhenUsed/>
  </w:style>
  <w:style w:type="paragraph" w:styleId="799">
    <w:name w:val="Header"/>
    <w:basedOn w:val="769"/>
    <w:link w:val="800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800" w:customStyle="1">
    <w:name w:val="Верхний колонтитул Знак"/>
    <w:link w:val="799"/>
    <w:uiPriority w:val="99"/>
    <w:rPr>
      <w:rFonts w:ascii="Times New Roman" w:hAnsi="Times New Roman" w:eastAsia="Times New Roman"/>
    </w:rPr>
  </w:style>
  <w:style w:type="paragraph" w:styleId="801">
    <w:name w:val="No Spacing"/>
    <w:uiPriority w:val="1"/>
    <w:qFormat/>
    <w:rPr>
      <w:rFonts w:eastAsia="Times New Roman"/>
      <w:sz w:val="22"/>
      <w:szCs w:val="22"/>
    </w:rPr>
  </w:style>
  <w:style w:type="character" w:styleId="802" w:customStyle="1">
    <w:name w:val="Неразрешенное упоминание1"/>
    <w:basedOn w:val="771"/>
    <w:uiPriority w:val="99"/>
    <w:semiHidden/>
    <w:unhideWhenUsed/>
    <w:rPr>
      <w:color w:val="605e5c"/>
      <w:shd w:val="clear" w:color="auto" w:fill="e1dfdd"/>
    </w:rPr>
  </w:style>
  <w:style w:type="numbering" w:styleId="803" w:customStyle="1">
    <w:name w:val="Нет списка1"/>
    <w:next w:val="773"/>
    <w:uiPriority w:val="99"/>
    <w:semiHidden/>
    <w:unhideWhenUsed/>
  </w:style>
  <w:style w:type="character" w:styleId="804">
    <w:name w:val="Emphasis"/>
    <w:uiPriority w:val="20"/>
    <w:qFormat/>
    <w:rPr>
      <w:i/>
      <w:iCs/>
    </w:rPr>
  </w:style>
  <w:style w:type="paragraph" w:styleId="805" w:customStyle="1">
    <w:name w:val="c9"/>
    <w:basedOn w:val="769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806" w:customStyle="1">
    <w:name w:val="c21"/>
    <w:basedOn w:val="771"/>
  </w:style>
  <w:style w:type="character" w:styleId="807" w:customStyle="1">
    <w:name w:val="c1"/>
    <w:basedOn w:val="771"/>
  </w:style>
  <w:style w:type="character" w:styleId="808">
    <w:name w:val="Strong"/>
    <w:basedOn w:val="771"/>
    <w:uiPriority w:val="22"/>
    <w:qFormat/>
    <w:rPr>
      <w:b/>
      <w:bCs/>
    </w:rPr>
  </w:style>
  <w:style w:type="character" w:styleId="809" w:customStyle="1">
    <w:name w:val="Основной текст (5)_"/>
    <w:link w:val="810"/>
    <w:rPr>
      <w:sz w:val="28"/>
      <w:szCs w:val="28"/>
      <w:shd w:val="clear" w:color="auto" w:fill="ffffff"/>
    </w:rPr>
  </w:style>
  <w:style w:type="paragraph" w:styleId="810" w:customStyle="1">
    <w:name w:val="Основной текст (5)"/>
    <w:basedOn w:val="769"/>
    <w:link w:val="809"/>
    <w:pPr>
      <w:jc w:val="both"/>
      <w:spacing w:line="322" w:lineRule="exact"/>
      <w:shd w:val="clear" w:color="auto" w:fill="ffffff"/>
      <w:widowControl w:val="off"/>
    </w:pPr>
    <w:rPr>
      <w:rFonts w:ascii="Calibri" w:hAnsi="Calibri" w:eastAsia="Calibri"/>
      <w:sz w:val="28"/>
      <w:szCs w:val="28"/>
    </w:rPr>
  </w:style>
  <w:style w:type="table" w:styleId="811" w:customStyle="1">
    <w:name w:val="Сетка таблицы1"/>
    <w:basedOn w:val="772"/>
    <w:next w:val="77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12" w:customStyle="1">
    <w:name w:val="msonormal"/>
    <w:basedOn w:val="769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813" w:customStyle="1">
    <w:name w:val="Основной текст + 11"/>
    <w:basedOn w:val="771"/>
    <w:rPr>
      <w:rFonts w:hint="default" w:ascii="Times New Roman" w:hAnsi="Times New Roman" w:eastAsia="Times New Roman" w:cs="Times New Roman"/>
      <w:b/>
      <w:bCs/>
      <w:i w:val="0"/>
      <w:iCs w:val="0"/>
      <w:smallCaps w:val="0"/>
      <w:strike w:val="0"/>
      <w:color w:val="000000"/>
      <w:spacing w:val="-7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styleId="814" w:customStyle="1">
    <w:name w:val="Абзац списка Знак"/>
    <w:link w:val="781"/>
    <w:uiPriority w:val="34"/>
    <w:rPr>
      <w:sz w:val="22"/>
      <w:szCs w:val="22"/>
      <w:lang w:eastAsia="en-US"/>
    </w:rPr>
  </w:style>
  <w:style w:type="paragraph" w:styleId="815" w:customStyle="1">
    <w:name w:val="Заголовок1"/>
    <w:basedOn w:val="769"/>
    <w:next w:val="769"/>
    <w:uiPriority w:val="10"/>
    <w:qFormat/>
    <w:pPr>
      <w:contextualSpacing/>
    </w:pPr>
    <w:rPr>
      <w:rFonts w:ascii="Cambria" w:hAnsi="Cambria"/>
      <w:spacing w:val="-10"/>
      <w:sz w:val="56"/>
      <w:szCs w:val="56"/>
    </w:rPr>
  </w:style>
  <w:style w:type="character" w:styleId="816" w:customStyle="1">
    <w:name w:val="Заголовок Знак"/>
    <w:basedOn w:val="771"/>
    <w:link w:val="817"/>
    <w:uiPriority w:val="10"/>
    <w:rPr>
      <w:rFonts w:ascii="Cambria" w:hAnsi="Cambria" w:eastAsia="Times New Roman" w:cs="Times New Roman"/>
      <w:spacing w:val="-10"/>
      <w:sz w:val="56"/>
      <w:szCs w:val="56"/>
      <w:lang w:eastAsia="ru-RU"/>
    </w:rPr>
  </w:style>
  <w:style w:type="paragraph" w:styleId="817">
    <w:name w:val="Title"/>
    <w:basedOn w:val="769"/>
    <w:next w:val="769"/>
    <w:link w:val="816"/>
    <w:uiPriority w:val="10"/>
    <w:qFormat/>
    <w:pPr>
      <w:contextualSpacing/>
    </w:pPr>
    <w:rPr>
      <w:rFonts w:ascii="Cambria" w:hAnsi="Cambria"/>
      <w:spacing w:val="-10"/>
      <w:sz w:val="56"/>
      <w:szCs w:val="56"/>
    </w:rPr>
  </w:style>
  <w:style w:type="character" w:styleId="818" w:customStyle="1">
    <w:name w:val="Заголовок Знак1"/>
    <w:basedOn w:val="771"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819">
    <w:name w:val="Unresolved Mention"/>
    <w:basedOn w:val="771"/>
    <w:uiPriority w:val="99"/>
    <w:semiHidden/>
    <w:unhideWhenUsed/>
    <w:rPr>
      <w:color w:val="605e5c"/>
      <w:shd w:val="clear" w:color="auto" w:fill="e1dfdd"/>
    </w:rPr>
  </w:style>
  <w:style w:type="paragraph" w:styleId="820" w:customStyle="1">
    <w:name w:val="docdata"/>
    <w:basedOn w:val="769"/>
    <w:pPr>
      <w:spacing w:before="100" w:beforeAutospacing="1" w:after="100" w:afterAutospacing="1"/>
    </w:pPr>
    <w:rPr>
      <w:sz w:val="24"/>
      <w:szCs w:val="24"/>
    </w:rPr>
  </w:style>
  <w:style w:type="paragraph" w:styleId="821">
    <w:name w:val="Normal (Web)"/>
    <w:basedOn w:val="769"/>
    <w:uiPriority w:val="99"/>
    <w:semiHidden/>
    <w:unhideWhenUsed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F77B5-D999-4CBA-B4B1-F761A94FC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Р7-Офис/2026.1.2.1942</Application>
  <Company>ДОиН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shsb</dc:creator>
  <cp:lastModifiedBy>KumyshevaAV</cp:lastModifiedBy>
  <cp:revision>3</cp:revision>
  <dcterms:created xsi:type="dcterms:W3CDTF">2026-07-06T12:34:00Z</dcterms:created>
  <dcterms:modified xsi:type="dcterms:W3CDTF">2026-07-07T09:18:57Z</dcterms:modified>
</cp:coreProperties>
</file>